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2D" w:rsidRDefault="00A67B2D" w:rsidP="006C4EF4"/>
    <w:p w:rsidR="00A67B2D" w:rsidRDefault="00A67B2D" w:rsidP="006C4EF4"/>
    <w:p w:rsidR="006C4EF4" w:rsidRDefault="006C4EF4" w:rsidP="006C4EF4">
      <w:r>
        <w:t xml:space="preserve">To: </w:t>
      </w:r>
      <w:r>
        <w:tab/>
      </w:r>
      <w:r>
        <w:tab/>
      </w:r>
      <w:r>
        <w:tab/>
      </w:r>
      <w:r>
        <w:tab/>
        <w:t>Audit and Governance Committee</w:t>
      </w:r>
    </w:p>
    <w:p w:rsidR="006C4EF4" w:rsidRDefault="006C4EF4" w:rsidP="006C4EF4"/>
    <w:p w:rsidR="006C4EF4" w:rsidRDefault="006C4EF4" w:rsidP="006C4EF4">
      <w:r>
        <w:t xml:space="preserve">Date: </w:t>
      </w:r>
      <w:r>
        <w:tab/>
      </w:r>
      <w:r>
        <w:tab/>
      </w:r>
      <w:r>
        <w:tab/>
      </w:r>
      <w:r>
        <w:tab/>
      </w:r>
      <w:r w:rsidR="008844BE">
        <w:t>28 June</w:t>
      </w:r>
      <w:r>
        <w:t xml:space="preserve"> 2017</w:t>
      </w:r>
    </w:p>
    <w:p w:rsidR="006C4EF4" w:rsidRDefault="006C4EF4" w:rsidP="006C4EF4"/>
    <w:p w:rsidR="006B5D5A" w:rsidRDefault="006C4EF4" w:rsidP="006C4EF4">
      <w:r>
        <w:t xml:space="preserve">Report of: </w:t>
      </w:r>
      <w:r>
        <w:tab/>
      </w:r>
      <w:r>
        <w:tab/>
      </w:r>
      <w:r>
        <w:tab/>
        <w:t>Head of Planning</w:t>
      </w:r>
      <w:r w:rsidR="00B60BA3">
        <w:t>, Sustainable Development</w:t>
      </w:r>
      <w:r>
        <w:t xml:space="preserve"> and</w:t>
      </w:r>
    </w:p>
    <w:p w:rsidR="006C4EF4" w:rsidRDefault="006C4EF4" w:rsidP="006B5D5A">
      <w:pPr>
        <w:ind w:left="2160" w:firstLine="720"/>
      </w:pPr>
      <w:r>
        <w:t>Regulatory Services</w:t>
      </w:r>
    </w:p>
    <w:p w:rsidR="006C4EF4" w:rsidRDefault="006C4EF4" w:rsidP="006C4EF4"/>
    <w:p w:rsidR="006C4EF4" w:rsidRDefault="006C4EF4" w:rsidP="006C4EF4">
      <w:r>
        <w:t xml:space="preserve">Title of Report: </w:t>
      </w:r>
      <w:r>
        <w:tab/>
      </w:r>
      <w:r>
        <w:tab/>
        <w:t xml:space="preserve">Building Control Service </w:t>
      </w:r>
    </w:p>
    <w:p w:rsidR="006C4EF4" w:rsidRDefault="006C4EF4" w:rsidP="006C4EF4"/>
    <w:p w:rsidR="006C4EF4" w:rsidRDefault="006C4EF4" w:rsidP="006C4EF4">
      <w:r>
        <w:rPr>
          <w:noProof/>
          <w:lang w:eastAsia="en-GB"/>
        </w:rPr>
        <mc:AlternateContent>
          <mc:Choice Requires="wps">
            <w:drawing>
              <wp:anchor distT="0" distB="0" distL="114300" distR="114300" simplePos="0" relativeHeight="251659264" behindDoc="0" locked="0" layoutInCell="1" allowOverlap="1" wp14:anchorId="7BA26AE7" wp14:editId="20EC28D0">
                <wp:simplePos x="0" y="0"/>
                <wp:positionH relativeFrom="column">
                  <wp:align>center</wp:align>
                </wp:positionH>
                <wp:positionV relativeFrom="paragraph">
                  <wp:posOffset>0</wp:posOffset>
                </wp:positionV>
                <wp:extent cx="5619750" cy="290449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904490"/>
                        </a:xfrm>
                        <a:prstGeom prst="rect">
                          <a:avLst/>
                        </a:prstGeom>
                        <a:solidFill>
                          <a:srgbClr val="FFFFFF"/>
                        </a:solidFill>
                        <a:ln w="9525">
                          <a:solidFill>
                            <a:srgbClr val="000000"/>
                          </a:solidFill>
                          <a:miter lim="800000"/>
                          <a:headEnd/>
                          <a:tailEnd/>
                        </a:ln>
                      </wps:spPr>
                      <wps:txbx>
                        <w:txbxContent>
                          <w:p w:rsidR="006C4EF4" w:rsidRPr="006C4EF4" w:rsidRDefault="006C4EF4" w:rsidP="006C4EF4">
                            <w:pPr>
                              <w:jc w:val="center"/>
                              <w:rPr>
                                <w:b/>
                              </w:rPr>
                            </w:pPr>
                            <w:r w:rsidRPr="006C4EF4">
                              <w:rPr>
                                <w:b/>
                              </w:rPr>
                              <w:t>Summary and Recommendations</w:t>
                            </w:r>
                          </w:p>
                          <w:p w:rsidR="006C4EF4" w:rsidRDefault="006C4EF4" w:rsidP="006C4EF4"/>
                          <w:p w:rsidR="006C4EF4" w:rsidRDefault="006C4EF4" w:rsidP="000320B6">
                            <w:r>
                              <w:t>Purpose of report: This is</w:t>
                            </w:r>
                            <w:r w:rsidRPr="006C4EF4">
                              <w:t xml:space="preserve"> </w:t>
                            </w:r>
                            <w:r>
                              <w:t xml:space="preserve">a report from the Head of Service on the </w:t>
                            </w:r>
                            <w:r w:rsidR="00132704">
                              <w:t xml:space="preserve">commercial activities of the </w:t>
                            </w:r>
                            <w:r w:rsidR="00DE19F3">
                              <w:t>Building Control S</w:t>
                            </w:r>
                            <w:r>
                              <w:t>ervice</w:t>
                            </w:r>
                            <w:r w:rsidR="00132704">
                              <w:t xml:space="preserve"> and the current position with regard to</w:t>
                            </w:r>
                            <w:r w:rsidR="00FD58CB">
                              <w:t xml:space="preserve"> the financial position and performance of the service</w:t>
                            </w:r>
                            <w:r w:rsidR="000320B6">
                              <w:t>.</w:t>
                            </w:r>
                          </w:p>
                          <w:p w:rsidR="006C4EF4" w:rsidRDefault="006C4EF4" w:rsidP="006C4EF4"/>
                          <w:p w:rsidR="006C4EF4" w:rsidRDefault="006C4EF4" w:rsidP="006C4EF4">
                            <w:r>
                              <w:t>Key decision: No</w:t>
                            </w:r>
                          </w:p>
                          <w:p w:rsidR="006C4EF4" w:rsidRDefault="006C4EF4" w:rsidP="006C4EF4"/>
                          <w:p w:rsidR="006C4EF4" w:rsidRDefault="006C4EF4" w:rsidP="006C4EF4">
                            <w:r>
                              <w:t xml:space="preserve">Executive lead member: Cllr Alex Hollingsworth </w:t>
                            </w:r>
                          </w:p>
                          <w:p w:rsidR="006C4EF4" w:rsidRDefault="006C4EF4" w:rsidP="006C4EF4"/>
                          <w:p w:rsidR="006C4EF4" w:rsidRDefault="006C4EF4" w:rsidP="006C4EF4">
                            <w:r>
                              <w:t>Policy Framework: Efficient and Effective Council</w:t>
                            </w:r>
                          </w:p>
                          <w:p w:rsidR="006C4EF4" w:rsidRDefault="006C4EF4" w:rsidP="006C4EF4"/>
                          <w:p w:rsidR="00132704" w:rsidRDefault="006C4EF4" w:rsidP="00132704">
                            <w:r>
                              <w:t xml:space="preserve">Recommendations: </w:t>
                            </w:r>
                            <w:r w:rsidR="00132704">
                              <w:t xml:space="preserve">Members are recommended to note the contents of the report and to request an update in 12 months when it is anticipated that the proposed service improvements will have been implemented. </w:t>
                            </w:r>
                          </w:p>
                          <w:p w:rsidR="006C4EF4" w:rsidRDefault="006C4E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2.5pt;height:228.7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">
                <v:textbox style="mso-fit-shape-to-text:t">
                  <w:txbxContent>
                    <w:p w:rsidR="006C4EF4" w:rsidRPr="006C4EF4" w:rsidRDefault="006C4EF4" w:rsidP="006C4EF4">
                      <w:pPr>
                        <w:jc w:val="center"/>
                        <w:rPr>
                          <w:b/>
                        </w:rPr>
                      </w:pPr>
                      <w:r w:rsidRPr="006C4EF4">
                        <w:rPr>
                          <w:b/>
                        </w:rPr>
                        <w:t>Summary and Recommendations</w:t>
                      </w:r>
                    </w:p>
                    <w:p w:rsidR="006C4EF4" w:rsidRDefault="006C4EF4" w:rsidP="006C4EF4"/>
                    <w:p w:rsidR="006C4EF4" w:rsidRDefault="006C4EF4" w:rsidP="000320B6">
                      <w:r>
                        <w:t>Purpose of report: This is</w:t>
                      </w:r>
                      <w:r w:rsidRPr="006C4EF4">
                        <w:t xml:space="preserve"> </w:t>
                      </w:r>
                      <w:r>
                        <w:t xml:space="preserve">a report from the Head of Service on the </w:t>
                      </w:r>
                      <w:r w:rsidR="00132704">
                        <w:t xml:space="preserve">commercial activities of the </w:t>
                      </w:r>
                      <w:r w:rsidR="00DE19F3">
                        <w:t>Building Control S</w:t>
                      </w:r>
                      <w:r>
                        <w:t>ervice</w:t>
                      </w:r>
                      <w:r w:rsidR="00132704">
                        <w:t xml:space="preserve"> and the current position with regard to</w:t>
                      </w:r>
                      <w:r w:rsidR="00FD58CB">
                        <w:t xml:space="preserve"> the financial position and performance of the service</w:t>
                      </w:r>
                      <w:r w:rsidR="000320B6">
                        <w:t>.</w:t>
                      </w:r>
                    </w:p>
                    <w:p w:rsidR="006C4EF4" w:rsidRDefault="006C4EF4" w:rsidP="006C4EF4"/>
                    <w:p w:rsidR="006C4EF4" w:rsidRDefault="006C4EF4" w:rsidP="006C4EF4">
                      <w:r>
                        <w:t>Key decision: No</w:t>
                      </w:r>
                    </w:p>
                    <w:p w:rsidR="006C4EF4" w:rsidRDefault="006C4EF4" w:rsidP="006C4EF4"/>
                    <w:p w:rsidR="006C4EF4" w:rsidRDefault="006C4EF4" w:rsidP="006C4EF4">
                      <w:r>
                        <w:t xml:space="preserve">Executive lead member: Cllr Alex Hollingsworth </w:t>
                      </w:r>
                    </w:p>
                    <w:p w:rsidR="006C4EF4" w:rsidRDefault="006C4EF4" w:rsidP="006C4EF4"/>
                    <w:p w:rsidR="006C4EF4" w:rsidRDefault="006C4EF4" w:rsidP="006C4EF4">
                      <w:r>
                        <w:t>Policy Framework: Efficient and Effective Council</w:t>
                      </w:r>
                    </w:p>
                    <w:p w:rsidR="006C4EF4" w:rsidRDefault="006C4EF4" w:rsidP="006C4EF4"/>
                    <w:p w:rsidR="00132704" w:rsidRDefault="006C4EF4" w:rsidP="00132704">
                      <w:r>
                        <w:t xml:space="preserve">Recommendations: </w:t>
                      </w:r>
                      <w:r w:rsidR="00132704">
                        <w:t xml:space="preserve">Members are recommended to note the contents of the report and to request an update in 12 months when it is anticipated that the proposed service improvements will have been implemented. </w:t>
                      </w:r>
                    </w:p>
                    <w:p w:rsidR="006C4EF4" w:rsidRDefault="006C4EF4"/>
                  </w:txbxContent>
                </v:textbox>
              </v:shape>
            </w:pict>
          </mc:Fallback>
        </mc:AlternateContent>
      </w:r>
    </w:p>
    <w:p w:rsidR="006C4EF4" w:rsidRDefault="006C4EF4" w:rsidP="006C4EF4"/>
    <w:p w:rsidR="006C4EF4" w:rsidRDefault="006C4EF4" w:rsidP="006C4EF4"/>
    <w:p w:rsidR="006B744F" w:rsidRDefault="006B744F" w:rsidP="008A22C6"/>
    <w:p w:rsidR="006B744F" w:rsidRDefault="006B744F" w:rsidP="008A22C6"/>
    <w:p w:rsidR="006C4EF4" w:rsidRDefault="006C4EF4" w:rsidP="008A22C6"/>
    <w:p w:rsidR="006C4EF4" w:rsidRDefault="006C4EF4" w:rsidP="008A22C6"/>
    <w:p w:rsidR="006C4EF4" w:rsidRDefault="006C4EF4" w:rsidP="008A22C6"/>
    <w:p w:rsidR="006C4EF4" w:rsidRDefault="006C4EF4" w:rsidP="008A22C6"/>
    <w:p w:rsidR="006C4EF4" w:rsidRDefault="006C4EF4" w:rsidP="008A22C6"/>
    <w:p w:rsidR="006C4EF4" w:rsidRDefault="006C4EF4" w:rsidP="008A22C6"/>
    <w:p w:rsidR="006C4EF4" w:rsidRDefault="006C4EF4" w:rsidP="008A22C6"/>
    <w:p w:rsidR="006C4EF4" w:rsidRDefault="006C4EF4" w:rsidP="008A22C6"/>
    <w:p w:rsidR="006C4EF4" w:rsidRDefault="006C4EF4" w:rsidP="008A22C6"/>
    <w:p w:rsidR="006C4EF4" w:rsidRDefault="006C4EF4" w:rsidP="008A22C6"/>
    <w:p w:rsidR="006C4EF4" w:rsidRDefault="006C4EF4" w:rsidP="008A22C6"/>
    <w:p w:rsidR="000320B6" w:rsidRDefault="000320B6" w:rsidP="008A22C6"/>
    <w:p w:rsidR="00E92CBA" w:rsidRDefault="00E92CBA" w:rsidP="008A22C6"/>
    <w:p w:rsidR="006B744F" w:rsidRDefault="00132704" w:rsidP="006B744F">
      <w:pPr>
        <w:autoSpaceDE w:val="0"/>
        <w:autoSpaceDN w:val="0"/>
        <w:adjustRightInd w:val="0"/>
        <w:rPr>
          <w:b/>
          <w:bCs/>
        </w:rPr>
      </w:pPr>
      <w:r>
        <w:rPr>
          <w:b/>
          <w:bCs/>
        </w:rPr>
        <w:t xml:space="preserve">Introduction </w:t>
      </w:r>
    </w:p>
    <w:p w:rsidR="006B744F" w:rsidRPr="006B744F" w:rsidRDefault="006B744F" w:rsidP="006B744F">
      <w:pPr>
        <w:autoSpaceDE w:val="0"/>
        <w:autoSpaceDN w:val="0"/>
        <w:adjustRightInd w:val="0"/>
        <w:rPr>
          <w:b/>
          <w:bCs/>
        </w:rPr>
      </w:pPr>
    </w:p>
    <w:p w:rsidR="006B744F" w:rsidRPr="006B744F" w:rsidRDefault="006B744F" w:rsidP="005D6667">
      <w:pPr>
        <w:pStyle w:val="ListParagraph"/>
        <w:numPr>
          <w:ilvl w:val="0"/>
          <w:numId w:val="1"/>
        </w:numPr>
        <w:autoSpaceDE w:val="0"/>
        <w:autoSpaceDN w:val="0"/>
        <w:adjustRightInd w:val="0"/>
        <w:ind w:left="360"/>
      </w:pPr>
      <w:r w:rsidRPr="006B744F">
        <w:t>Building Control (BC) is the process by which the Building Regulations as set down</w:t>
      </w:r>
      <w:r>
        <w:t xml:space="preserve"> </w:t>
      </w:r>
      <w:r w:rsidRPr="006B744F">
        <w:t>by the Department for Communities and Local Government are enforced. They are a</w:t>
      </w:r>
      <w:r>
        <w:t xml:space="preserve"> </w:t>
      </w:r>
      <w:r w:rsidRPr="006B744F">
        <w:t>set of standards for the design and construction of buildings primarily established to</w:t>
      </w:r>
      <w:r>
        <w:t xml:space="preserve"> </w:t>
      </w:r>
      <w:r w:rsidRPr="006B744F">
        <w:t>ensure the safety of those people who use the buildings through regulations for fire,</w:t>
      </w:r>
      <w:r>
        <w:t xml:space="preserve"> </w:t>
      </w:r>
      <w:r w:rsidRPr="006B744F">
        <w:t>electrical and structural safety.</w:t>
      </w:r>
    </w:p>
    <w:p w:rsidR="006B744F" w:rsidRPr="006B744F" w:rsidRDefault="006B744F" w:rsidP="005D6667"/>
    <w:p w:rsidR="006B744F" w:rsidRDefault="006B744F" w:rsidP="005D6667">
      <w:pPr>
        <w:pStyle w:val="ListParagraph"/>
        <w:numPr>
          <w:ilvl w:val="0"/>
          <w:numId w:val="1"/>
        </w:numPr>
        <w:autoSpaceDE w:val="0"/>
        <w:autoSpaceDN w:val="0"/>
        <w:adjustRightInd w:val="0"/>
        <w:ind w:left="360"/>
      </w:pPr>
      <w:r w:rsidRPr="006B744F">
        <w:t>Historically the Local Authority performed this function exclusively, but since 1997 the</w:t>
      </w:r>
      <w:r>
        <w:t xml:space="preserve"> </w:t>
      </w:r>
      <w:r w:rsidRPr="006B744F">
        <w:t>private sector through registered individuals and companies has competed with the</w:t>
      </w:r>
      <w:r>
        <w:t xml:space="preserve"> </w:t>
      </w:r>
      <w:r w:rsidRPr="006B744F">
        <w:t>public sector for fee-earning work. These private sector companies and individuals</w:t>
      </w:r>
      <w:r>
        <w:t xml:space="preserve"> </w:t>
      </w:r>
      <w:r w:rsidRPr="006B744F">
        <w:t>are known as Approved Inspectors (AIs).</w:t>
      </w:r>
    </w:p>
    <w:p w:rsidR="006B744F" w:rsidRPr="006B744F" w:rsidRDefault="006B744F" w:rsidP="005D6667">
      <w:pPr>
        <w:autoSpaceDE w:val="0"/>
        <w:autoSpaceDN w:val="0"/>
        <w:adjustRightInd w:val="0"/>
      </w:pPr>
    </w:p>
    <w:p w:rsidR="006B744F" w:rsidRDefault="006B744F" w:rsidP="005D6667">
      <w:pPr>
        <w:pStyle w:val="ListParagraph"/>
        <w:numPr>
          <w:ilvl w:val="0"/>
          <w:numId w:val="1"/>
        </w:numPr>
        <w:autoSpaceDE w:val="0"/>
        <w:autoSpaceDN w:val="0"/>
        <w:adjustRightInd w:val="0"/>
        <w:ind w:left="360"/>
      </w:pPr>
      <w:r w:rsidRPr="006B744F">
        <w:t xml:space="preserve">This competition has resulted in Local Authority Building Control </w:t>
      </w:r>
      <w:r w:rsidR="003E553B">
        <w:t xml:space="preserve">(LABC) </w:t>
      </w:r>
      <w:r w:rsidR="00771A52">
        <w:t xml:space="preserve">services </w:t>
      </w:r>
      <w:proofErr w:type="gramStart"/>
      <w:r w:rsidRPr="006B744F">
        <w:t xml:space="preserve">being </w:t>
      </w:r>
      <w:r w:rsidR="00771A52">
        <w:t>more focussed</w:t>
      </w:r>
      <w:proofErr w:type="gramEnd"/>
      <w:r w:rsidR="00771A52">
        <w:t xml:space="preserve"> on</w:t>
      </w:r>
      <w:r w:rsidRPr="006B744F">
        <w:t xml:space="preserve"> the need for efficient service delivery and excellent customer service in order to be</w:t>
      </w:r>
      <w:r>
        <w:t xml:space="preserve"> </w:t>
      </w:r>
      <w:r w:rsidRPr="006B744F">
        <w:t xml:space="preserve">able to compete for </w:t>
      </w:r>
      <w:r w:rsidR="00771A52">
        <w:t xml:space="preserve">fee earning work. </w:t>
      </w:r>
    </w:p>
    <w:p w:rsidR="00A67B2D" w:rsidRDefault="00A67B2D" w:rsidP="00CB0E18">
      <w:pPr>
        <w:pStyle w:val="ListParagraph"/>
        <w:ind w:left="0"/>
      </w:pPr>
    </w:p>
    <w:p w:rsidR="00CB0E18" w:rsidRPr="00CB0E18" w:rsidRDefault="00440EED" w:rsidP="00CB0E18">
      <w:pPr>
        <w:pStyle w:val="ListParagraph"/>
        <w:ind w:left="0"/>
        <w:rPr>
          <w:b/>
        </w:rPr>
      </w:pPr>
      <w:bookmarkStart w:id="0" w:name="_GoBack"/>
      <w:bookmarkEnd w:id="0"/>
      <w:r>
        <w:rPr>
          <w:b/>
        </w:rPr>
        <w:t xml:space="preserve">The current service </w:t>
      </w:r>
    </w:p>
    <w:p w:rsidR="00CB0E18" w:rsidRDefault="00CB0E18" w:rsidP="00771A52">
      <w:pPr>
        <w:pStyle w:val="ListParagraph"/>
      </w:pPr>
    </w:p>
    <w:p w:rsidR="00771A52" w:rsidRDefault="00CB0E18" w:rsidP="005D6667">
      <w:pPr>
        <w:pStyle w:val="ListParagraph"/>
        <w:numPr>
          <w:ilvl w:val="0"/>
          <w:numId w:val="1"/>
        </w:numPr>
        <w:autoSpaceDE w:val="0"/>
        <w:autoSpaceDN w:val="0"/>
        <w:adjustRightInd w:val="0"/>
        <w:spacing w:after="240"/>
        <w:ind w:left="357" w:hanging="357"/>
      </w:pPr>
      <w:r>
        <w:t xml:space="preserve">The </w:t>
      </w:r>
      <w:r w:rsidR="00440EED">
        <w:t>work of the Building Control service is split between statutory functions which are non-fee earning and the fee earning work regarding plan checking and ensuring compliance with Building Regulations.</w:t>
      </w:r>
      <w:r>
        <w:t xml:space="preserve"> </w:t>
      </w:r>
      <w:r w:rsidRPr="00CB0E18">
        <w:t xml:space="preserve">Non-fee earning work </w:t>
      </w:r>
      <w:r w:rsidR="00440EED">
        <w:t xml:space="preserve">includes </w:t>
      </w:r>
      <w:r w:rsidR="00440EED">
        <w:lastRenderedPageBreak/>
        <w:t xml:space="preserve">dealing with </w:t>
      </w:r>
      <w:r w:rsidR="00440EED" w:rsidRPr="00CB0E18">
        <w:t xml:space="preserve">dangerous structures, </w:t>
      </w:r>
      <w:r w:rsidR="00440EED">
        <w:t xml:space="preserve">inspecting </w:t>
      </w:r>
      <w:r w:rsidRPr="00CB0E18">
        <w:t>disabled persons a</w:t>
      </w:r>
      <w:r w:rsidR="00F66321">
        <w:t>daptation</w:t>
      </w:r>
      <w:r w:rsidRPr="00CB0E18">
        <w:t xml:space="preserve">s, demolitions, unauthorised </w:t>
      </w:r>
      <w:r w:rsidR="00F66321">
        <w:t xml:space="preserve">building </w:t>
      </w:r>
      <w:r w:rsidRPr="00CB0E18">
        <w:t xml:space="preserve">work, enforcement and the administration of Approved Inspector legislation. Currently the estimated split between fee and non-fee earning work used for budget purposes is </w:t>
      </w:r>
      <w:r w:rsidR="0006327E">
        <w:t>75/</w:t>
      </w:r>
      <w:proofErr w:type="gramStart"/>
      <w:r w:rsidR="0006327E">
        <w:t>25</w:t>
      </w:r>
      <w:r w:rsidR="00A46530">
        <w:t xml:space="preserve"> which</w:t>
      </w:r>
      <w:proofErr w:type="gramEnd"/>
      <w:r w:rsidR="00A46530">
        <w:t xml:space="preserve"> is in line with many local authority Building Control Services.</w:t>
      </w:r>
    </w:p>
    <w:p w:rsidR="00F66321" w:rsidRDefault="00F66321" w:rsidP="005D6667">
      <w:pPr>
        <w:pStyle w:val="ListParagraph"/>
        <w:autoSpaceDE w:val="0"/>
        <w:autoSpaceDN w:val="0"/>
        <w:adjustRightInd w:val="0"/>
        <w:spacing w:after="240"/>
        <w:ind w:left="357"/>
      </w:pPr>
    </w:p>
    <w:p w:rsidR="00F66321" w:rsidRDefault="00F66321" w:rsidP="005D6667">
      <w:pPr>
        <w:pStyle w:val="ListParagraph"/>
        <w:numPr>
          <w:ilvl w:val="0"/>
          <w:numId w:val="1"/>
        </w:numPr>
        <w:autoSpaceDE w:val="0"/>
        <w:autoSpaceDN w:val="0"/>
        <w:adjustRightInd w:val="0"/>
        <w:ind w:left="363"/>
      </w:pPr>
      <w:r>
        <w:t>The current structure of the Team is given below:</w:t>
      </w:r>
    </w:p>
    <w:p w:rsidR="00F66321" w:rsidRDefault="00F66321" w:rsidP="009170B9">
      <w:pPr>
        <w:pStyle w:val="ListParagraph"/>
        <w:jc w:val="center"/>
      </w:pPr>
    </w:p>
    <w:tbl>
      <w:tblPr>
        <w:tblStyle w:val="TableGrid"/>
        <w:tblW w:w="0" w:type="auto"/>
        <w:tblInd w:w="108" w:type="dxa"/>
        <w:tblLook w:val="04A0" w:firstRow="1" w:lastRow="0" w:firstColumn="1" w:lastColumn="0" w:noHBand="0" w:noVBand="1"/>
      </w:tblPr>
      <w:tblGrid>
        <w:gridCol w:w="6237"/>
        <w:gridCol w:w="1418"/>
        <w:gridCol w:w="1479"/>
      </w:tblGrid>
      <w:tr w:rsidR="009170B9" w:rsidRPr="00F66321" w:rsidTr="00E92CBA">
        <w:trPr>
          <w:trHeight w:val="315"/>
        </w:trPr>
        <w:tc>
          <w:tcPr>
            <w:tcW w:w="6237" w:type="dxa"/>
            <w:noWrap/>
          </w:tcPr>
          <w:p w:rsidR="009170B9" w:rsidRPr="009170B9" w:rsidRDefault="009170B9" w:rsidP="009170B9">
            <w:pPr>
              <w:pStyle w:val="ListParagraph"/>
              <w:autoSpaceDE w:val="0"/>
              <w:autoSpaceDN w:val="0"/>
              <w:adjustRightInd w:val="0"/>
              <w:ind w:left="34"/>
              <w:jc w:val="center"/>
              <w:rPr>
                <w:b/>
              </w:rPr>
            </w:pPr>
            <w:r w:rsidRPr="009170B9">
              <w:rPr>
                <w:b/>
              </w:rPr>
              <w:t>Post</w:t>
            </w:r>
          </w:p>
        </w:tc>
        <w:tc>
          <w:tcPr>
            <w:tcW w:w="1418" w:type="dxa"/>
            <w:noWrap/>
          </w:tcPr>
          <w:p w:rsidR="009170B9" w:rsidRPr="009170B9" w:rsidRDefault="009170B9" w:rsidP="009170B9">
            <w:pPr>
              <w:pStyle w:val="ListParagraph"/>
              <w:autoSpaceDE w:val="0"/>
              <w:autoSpaceDN w:val="0"/>
              <w:adjustRightInd w:val="0"/>
              <w:ind w:left="178"/>
              <w:jc w:val="center"/>
              <w:rPr>
                <w:b/>
              </w:rPr>
            </w:pPr>
            <w:r w:rsidRPr="009170B9">
              <w:rPr>
                <w:b/>
              </w:rPr>
              <w:t>Hours</w:t>
            </w:r>
          </w:p>
        </w:tc>
        <w:tc>
          <w:tcPr>
            <w:tcW w:w="1479" w:type="dxa"/>
          </w:tcPr>
          <w:p w:rsidR="009170B9" w:rsidRPr="009170B9" w:rsidRDefault="009170B9" w:rsidP="009170B9">
            <w:pPr>
              <w:pStyle w:val="ListParagraph"/>
              <w:autoSpaceDE w:val="0"/>
              <w:autoSpaceDN w:val="0"/>
              <w:adjustRightInd w:val="0"/>
              <w:ind w:left="-20"/>
              <w:jc w:val="center"/>
              <w:rPr>
                <w:b/>
              </w:rPr>
            </w:pPr>
            <w:r>
              <w:rPr>
                <w:b/>
              </w:rPr>
              <w:t>Grade</w:t>
            </w:r>
          </w:p>
        </w:tc>
      </w:tr>
      <w:tr w:rsidR="009170B9" w:rsidRPr="00F66321" w:rsidTr="00E92CBA">
        <w:trPr>
          <w:trHeight w:val="315"/>
        </w:trPr>
        <w:tc>
          <w:tcPr>
            <w:tcW w:w="6237" w:type="dxa"/>
            <w:noWrap/>
            <w:hideMark/>
          </w:tcPr>
          <w:p w:rsidR="009170B9" w:rsidRPr="00F66321" w:rsidRDefault="009170B9" w:rsidP="00F66321">
            <w:pPr>
              <w:pStyle w:val="ListParagraph"/>
              <w:autoSpaceDE w:val="0"/>
              <w:autoSpaceDN w:val="0"/>
              <w:adjustRightInd w:val="0"/>
              <w:ind w:left="34"/>
            </w:pPr>
            <w:r w:rsidRPr="00F66321">
              <w:t>Team Leader</w:t>
            </w:r>
          </w:p>
        </w:tc>
        <w:tc>
          <w:tcPr>
            <w:tcW w:w="1418" w:type="dxa"/>
            <w:noWrap/>
            <w:hideMark/>
          </w:tcPr>
          <w:p w:rsidR="009170B9" w:rsidRPr="00F66321" w:rsidRDefault="009170B9" w:rsidP="009170B9">
            <w:pPr>
              <w:pStyle w:val="ListParagraph"/>
              <w:autoSpaceDE w:val="0"/>
              <w:autoSpaceDN w:val="0"/>
              <w:adjustRightInd w:val="0"/>
              <w:ind w:left="459"/>
            </w:pPr>
            <w:r w:rsidRPr="00F66321">
              <w:t>37.00</w:t>
            </w:r>
          </w:p>
        </w:tc>
        <w:tc>
          <w:tcPr>
            <w:tcW w:w="1479" w:type="dxa"/>
          </w:tcPr>
          <w:p w:rsidR="009170B9" w:rsidRPr="00F66321" w:rsidRDefault="009170B9" w:rsidP="009170B9">
            <w:pPr>
              <w:pStyle w:val="ListParagraph"/>
              <w:autoSpaceDE w:val="0"/>
              <w:autoSpaceDN w:val="0"/>
              <w:adjustRightInd w:val="0"/>
              <w:ind w:left="389"/>
            </w:pPr>
            <w:r>
              <w:t>9</w:t>
            </w:r>
          </w:p>
        </w:tc>
      </w:tr>
      <w:tr w:rsidR="009170B9" w:rsidRPr="00F66321" w:rsidTr="00E92CBA">
        <w:trPr>
          <w:trHeight w:val="315"/>
        </w:trPr>
        <w:tc>
          <w:tcPr>
            <w:tcW w:w="6237" w:type="dxa"/>
            <w:noWrap/>
            <w:hideMark/>
          </w:tcPr>
          <w:p w:rsidR="009170B9" w:rsidRPr="00F66321" w:rsidRDefault="009170B9" w:rsidP="00F66321">
            <w:pPr>
              <w:pStyle w:val="ListParagraph"/>
              <w:autoSpaceDE w:val="0"/>
              <w:autoSpaceDN w:val="0"/>
              <w:adjustRightInd w:val="0"/>
              <w:ind w:left="34"/>
            </w:pPr>
            <w:r w:rsidRPr="00F66321">
              <w:t xml:space="preserve">Senior Building Control Officer </w:t>
            </w:r>
          </w:p>
        </w:tc>
        <w:tc>
          <w:tcPr>
            <w:tcW w:w="1418" w:type="dxa"/>
            <w:noWrap/>
            <w:hideMark/>
          </w:tcPr>
          <w:p w:rsidR="009170B9" w:rsidRPr="00F66321" w:rsidRDefault="009170B9" w:rsidP="009170B9">
            <w:pPr>
              <w:pStyle w:val="ListParagraph"/>
              <w:autoSpaceDE w:val="0"/>
              <w:autoSpaceDN w:val="0"/>
              <w:adjustRightInd w:val="0"/>
              <w:ind w:left="459"/>
            </w:pPr>
            <w:r w:rsidRPr="00F66321">
              <w:t>37.00</w:t>
            </w:r>
          </w:p>
        </w:tc>
        <w:tc>
          <w:tcPr>
            <w:tcW w:w="1479" w:type="dxa"/>
          </w:tcPr>
          <w:p w:rsidR="009170B9" w:rsidRPr="00F66321" w:rsidRDefault="009170B9" w:rsidP="009170B9">
            <w:pPr>
              <w:pStyle w:val="ListParagraph"/>
              <w:autoSpaceDE w:val="0"/>
              <w:autoSpaceDN w:val="0"/>
              <w:adjustRightInd w:val="0"/>
              <w:ind w:left="389"/>
            </w:pPr>
            <w:r>
              <w:t>8</w:t>
            </w:r>
          </w:p>
        </w:tc>
      </w:tr>
      <w:tr w:rsidR="009170B9" w:rsidRPr="00F66321" w:rsidTr="00E92CBA">
        <w:trPr>
          <w:trHeight w:val="315"/>
        </w:trPr>
        <w:tc>
          <w:tcPr>
            <w:tcW w:w="6237" w:type="dxa"/>
            <w:noWrap/>
            <w:hideMark/>
          </w:tcPr>
          <w:p w:rsidR="009170B9" w:rsidRPr="00F66321" w:rsidRDefault="009170B9" w:rsidP="00F66321">
            <w:pPr>
              <w:pStyle w:val="ListParagraph"/>
              <w:autoSpaceDE w:val="0"/>
              <w:autoSpaceDN w:val="0"/>
              <w:adjustRightInd w:val="0"/>
              <w:ind w:left="34"/>
            </w:pPr>
            <w:r w:rsidRPr="00F66321">
              <w:t>Senior Building Control Officer</w:t>
            </w:r>
          </w:p>
        </w:tc>
        <w:tc>
          <w:tcPr>
            <w:tcW w:w="1418" w:type="dxa"/>
            <w:noWrap/>
            <w:hideMark/>
          </w:tcPr>
          <w:p w:rsidR="009170B9" w:rsidRPr="00F66321" w:rsidRDefault="009170B9" w:rsidP="009170B9">
            <w:pPr>
              <w:pStyle w:val="ListParagraph"/>
              <w:autoSpaceDE w:val="0"/>
              <w:autoSpaceDN w:val="0"/>
              <w:adjustRightInd w:val="0"/>
              <w:ind w:left="459"/>
            </w:pPr>
            <w:r w:rsidRPr="00F66321">
              <w:t>37.00</w:t>
            </w:r>
          </w:p>
        </w:tc>
        <w:tc>
          <w:tcPr>
            <w:tcW w:w="1479" w:type="dxa"/>
          </w:tcPr>
          <w:p w:rsidR="009170B9" w:rsidRPr="00F66321" w:rsidRDefault="009170B9" w:rsidP="009170B9">
            <w:pPr>
              <w:pStyle w:val="ListParagraph"/>
              <w:autoSpaceDE w:val="0"/>
              <w:autoSpaceDN w:val="0"/>
              <w:adjustRightInd w:val="0"/>
              <w:ind w:left="389"/>
            </w:pPr>
            <w:r>
              <w:t>8</w:t>
            </w:r>
          </w:p>
        </w:tc>
      </w:tr>
      <w:tr w:rsidR="009170B9" w:rsidRPr="00F66321" w:rsidTr="00E92CBA">
        <w:trPr>
          <w:trHeight w:val="315"/>
        </w:trPr>
        <w:tc>
          <w:tcPr>
            <w:tcW w:w="6237" w:type="dxa"/>
            <w:noWrap/>
            <w:hideMark/>
          </w:tcPr>
          <w:p w:rsidR="009170B9" w:rsidRPr="00F66321" w:rsidRDefault="009170B9" w:rsidP="00F66321">
            <w:pPr>
              <w:pStyle w:val="ListParagraph"/>
              <w:autoSpaceDE w:val="0"/>
              <w:autoSpaceDN w:val="0"/>
              <w:adjustRightInd w:val="0"/>
              <w:ind w:left="34"/>
            </w:pPr>
            <w:r>
              <w:t>Senior/</w:t>
            </w:r>
            <w:r w:rsidRPr="00F66321">
              <w:t xml:space="preserve">Building Control Officer </w:t>
            </w:r>
            <w:r>
              <w:t xml:space="preserve"> (Career Grade)</w:t>
            </w:r>
          </w:p>
        </w:tc>
        <w:tc>
          <w:tcPr>
            <w:tcW w:w="1418" w:type="dxa"/>
            <w:noWrap/>
            <w:hideMark/>
          </w:tcPr>
          <w:p w:rsidR="009170B9" w:rsidRPr="00F66321" w:rsidRDefault="009170B9" w:rsidP="009170B9">
            <w:pPr>
              <w:pStyle w:val="ListParagraph"/>
              <w:autoSpaceDE w:val="0"/>
              <w:autoSpaceDN w:val="0"/>
              <w:adjustRightInd w:val="0"/>
              <w:ind w:left="459"/>
            </w:pPr>
            <w:r w:rsidRPr="00F66321">
              <w:t>37.00</w:t>
            </w:r>
          </w:p>
        </w:tc>
        <w:tc>
          <w:tcPr>
            <w:tcW w:w="1479" w:type="dxa"/>
          </w:tcPr>
          <w:p w:rsidR="009170B9" w:rsidRPr="00F66321" w:rsidRDefault="009170B9" w:rsidP="009170B9">
            <w:pPr>
              <w:pStyle w:val="ListParagraph"/>
              <w:autoSpaceDE w:val="0"/>
              <w:autoSpaceDN w:val="0"/>
              <w:adjustRightInd w:val="0"/>
              <w:ind w:left="389"/>
            </w:pPr>
            <w:r>
              <w:t>7/8</w:t>
            </w:r>
          </w:p>
        </w:tc>
      </w:tr>
      <w:tr w:rsidR="009170B9" w:rsidRPr="00F66321" w:rsidTr="00E92CBA">
        <w:trPr>
          <w:trHeight w:val="315"/>
        </w:trPr>
        <w:tc>
          <w:tcPr>
            <w:tcW w:w="6237" w:type="dxa"/>
            <w:noWrap/>
            <w:hideMark/>
          </w:tcPr>
          <w:p w:rsidR="009170B9" w:rsidRPr="00F66321" w:rsidRDefault="009170B9" w:rsidP="00F66321">
            <w:pPr>
              <w:pStyle w:val="ListParagraph"/>
              <w:autoSpaceDE w:val="0"/>
              <w:autoSpaceDN w:val="0"/>
              <w:adjustRightInd w:val="0"/>
              <w:ind w:left="34"/>
            </w:pPr>
            <w:r>
              <w:t>Senior/</w:t>
            </w:r>
            <w:r w:rsidRPr="00F66321">
              <w:t>Building Control Officer  (Career Grade)</w:t>
            </w:r>
          </w:p>
        </w:tc>
        <w:tc>
          <w:tcPr>
            <w:tcW w:w="1418" w:type="dxa"/>
            <w:noWrap/>
            <w:hideMark/>
          </w:tcPr>
          <w:p w:rsidR="009170B9" w:rsidRPr="00F66321" w:rsidRDefault="009170B9" w:rsidP="009170B9">
            <w:pPr>
              <w:pStyle w:val="ListParagraph"/>
              <w:autoSpaceDE w:val="0"/>
              <w:autoSpaceDN w:val="0"/>
              <w:adjustRightInd w:val="0"/>
              <w:ind w:left="459"/>
            </w:pPr>
            <w:r w:rsidRPr="00F66321">
              <w:t>37.00</w:t>
            </w:r>
          </w:p>
        </w:tc>
        <w:tc>
          <w:tcPr>
            <w:tcW w:w="1479" w:type="dxa"/>
          </w:tcPr>
          <w:p w:rsidR="009170B9" w:rsidRPr="00F66321" w:rsidRDefault="009170B9" w:rsidP="009170B9">
            <w:pPr>
              <w:pStyle w:val="ListParagraph"/>
              <w:autoSpaceDE w:val="0"/>
              <w:autoSpaceDN w:val="0"/>
              <w:adjustRightInd w:val="0"/>
              <w:ind w:left="389"/>
            </w:pPr>
            <w:r w:rsidRPr="009170B9">
              <w:t>7/8</w:t>
            </w:r>
          </w:p>
        </w:tc>
      </w:tr>
      <w:tr w:rsidR="009170B9" w:rsidRPr="00F66321" w:rsidTr="00E92CBA">
        <w:trPr>
          <w:trHeight w:val="315"/>
        </w:trPr>
        <w:tc>
          <w:tcPr>
            <w:tcW w:w="6237" w:type="dxa"/>
            <w:noWrap/>
            <w:hideMark/>
          </w:tcPr>
          <w:p w:rsidR="009170B9" w:rsidRPr="00F66321" w:rsidRDefault="009170B9" w:rsidP="00F66321">
            <w:pPr>
              <w:pStyle w:val="ListParagraph"/>
              <w:autoSpaceDE w:val="0"/>
              <w:autoSpaceDN w:val="0"/>
              <w:adjustRightInd w:val="0"/>
              <w:ind w:left="34"/>
            </w:pPr>
            <w:r>
              <w:t>Senior/</w:t>
            </w:r>
            <w:r w:rsidRPr="00F66321">
              <w:t>Building Control Officer  (Career Grade)</w:t>
            </w:r>
          </w:p>
        </w:tc>
        <w:tc>
          <w:tcPr>
            <w:tcW w:w="1418" w:type="dxa"/>
            <w:noWrap/>
            <w:hideMark/>
          </w:tcPr>
          <w:p w:rsidR="009170B9" w:rsidRPr="00F66321" w:rsidRDefault="009170B9" w:rsidP="009170B9">
            <w:pPr>
              <w:pStyle w:val="ListParagraph"/>
              <w:autoSpaceDE w:val="0"/>
              <w:autoSpaceDN w:val="0"/>
              <w:adjustRightInd w:val="0"/>
              <w:ind w:left="459"/>
            </w:pPr>
            <w:r w:rsidRPr="00F66321">
              <w:t>37.00</w:t>
            </w:r>
          </w:p>
        </w:tc>
        <w:tc>
          <w:tcPr>
            <w:tcW w:w="1479" w:type="dxa"/>
          </w:tcPr>
          <w:p w:rsidR="009170B9" w:rsidRPr="00F66321" w:rsidRDefault="009170B9" w:rsidP="009170B9">
            <w:pPr>
              <w:pStyle w:val="ListParagraph"/>
              <w:autoSpaceDE w:val="0"/>
              <w:autoSpaceDN w:val="0"/>
              <w:adjustRightInd w:val="0"/>
              <w:ind w:left="389"/>
            </w:pPr>
            <w:r w:rsidRPr="009170B9">
              <w:t>7/8</w:t>
            </w:r>
          </w:p>
        </w:tc>
      </w:tr>
      <w:tr w:rsidR="009170B9" w:rsidRPr="00F66321" w:rsidTr="00E92CBA">
        <w:trPr>
          <w:trHeight w:val="315"/>
        </w:trPr>
        <w:tc>
          <w:tcPr>
            <w:tcW w:w="6237" w:type="dxa"/>
            <w:noWrap/>
            <w:hideMark/>
          </w:tcPr>
          <w:p w:rsidR="009170B9" w:rsidRPr="00F66321" w:rsidRDefault="009170B9" w:rsidP="00F66321">
            <w:pPr>
              <w:pStyle w:val="ListParagraph"/>
              <w:autoSpaceDE w:val="0"/>
              <w:autoSpaceDN w:val="0"/>
              <w:adjustRightInd w:val="0"/>
              <w:ind w:left="34"/>
            </w:pPr>
            <w:r>
              <w:t>Senior/</w:t>
            </w:r>
            <w:r w:rsidRPr="00F66321">
              <w:t>Building Control Officer  (Career Grade)</w:t>
            </w:r>
          </w:p>
        </w:tc>
        <w:tc>
          <w:tcPr>
            <w:tcW w:w="1418" w:type="dxa"/>
            <w:noWrap/>
            <w:hideMark/>
          </w:tcPr>
          <w:p w:rsidR="009170B9" w:rsidRPr="00F66321" w:rsidRDefault="009170B9" w:rsidP="009170B9">
            <w:pPr>
              <w:pStyle w:val="ListParagraph"/>
              <w:autoSpaceDE w:val="0"/>
              <w:autoSpaceDN w:val="0"/>
              <w:adjustRightInd w:val="0"/>
              <w:ind w:left="459"/>
            </w:pPr>
            <w:r w:rsidRPr="00F66321">
              <w:t>37.00</w:t>
            </w:r>
          </w:p>
        </w:tc>
        <w:tc>
          <w:tcPr>
            <w:tcW w:w="1479" w:type="dxa"/>
          </w:tcPr>
          <w:p w:rsidR="009170B9" w:rsidRPr="00F66321" w:rsidRDefault="009170B9" w:rsidP="009170B9">
            <w:pPr>
              <w:pStyle w:val="ListParagraph"/>
              <w:autoSpaceDE w:val="0"/>
              <w:autoSpaceDN w:val="0"/>
              <w:adjustRightInd w:val="0"/>
              <w:ind w:left="389"/>
            </w:pPr>
            <w:r w:rsidRPr="009170B9">
              <w:t>7/8</w:t>
            </w:r>
          </w:p>
        </w:tc>
      </w:tr>
      <w:tr w:rsidR="009170B9" w:rsidRPr="00F66321" w:rsidTr="00E92CBA">
        <w:trPr>
          <w:trHeight w:val="315"/>
        </w:trPr>
        <w:tc>
          <w:tcPr>
            <w:tcW w:w="6237" w:type="dxa"/>
            <w:noWrap/>
            <w:hideMark/>
          </w:tcPr>
          <w:p w:rsidR="009170B9" w:rsidRPr="00F66321" w:rsidRDefault="009170B9" w:rsidP="00F66321">
            <w:pPr>
              <w:pStyle w:val="ListParagraph"/>
              <w:autoSpaceDE w:val="0"/>
              <w:autoSpaceDN w:val="0"/>
              <w:adjustRightInd w:val="0"/>
              <w:ind w:left="34"/>
            </w:pPr>
            <w:r w:rsidRPr="00F66321">
              <w:t>Apprentice</w:t>
            </w:r>
          </w:p>
        </w:tc>
        <w:tc>
          <w:tcPr>
            <w:tcW w:w="1418" w:type="dxa"/>
            <w:noWrap/>
            <w:hideMark/>
          </w:tcPr>
          <w:p w:rsidR="009170B9" w:rsidRPr="00F66321" w:rsidRDefault="009170B9" w:rsidP="009170B9">
            <w:pPr>
              <w:pStyle w:val="ListParagraph"/>
              <w:autoSpaceDE w:val="0"/>
              <w:autoSpaceDN w:val="0"/>
              <w:adjustRightInd w:val="0"/>
              <w:ind w:left="459"/>
            </w:pPr>
            <w:r w:rsidRPr="00F66321">
              <w:t>37.00</w:t>
            </w:r>
          </w:p>
        </w:tc>
        <w:tc>
          <w:tcPr>
            <w:tcW w:w="1479" w:type="dxa"/>
          </w:tcPr>
          <w:p w:rsidR="009170B9" w:rsidRPr="00F66321" w:rsidRDefault="007B25C2" w:rsidP="009170B9">
            <w:pPr>
              <w:pStyle w:val="ListParagraph"/>
              <w:autoSpaceDE w:val="0"/>
              <w:autoSpaceDN w:val="0"/>
              <w:adjustRightInd w:val="0"/>
              <w:ind w:left="389"/>
            </w:pPr>
            <w:r>
              <w:t>AG</w:t>
            </w:r>
          </w:p>
        </w:tc>
      </w:tr>
    </w:tbl>
    <w:p w:rsidR="006B744F" w:rsidRPr="006B744F" w:rsidRDefault="006B744F" w:rsidP="006B744F">
      <w:pPr>
        <w:autoSpaceDE w:val="0"/>
        <w:autoSpaceDN w:val="0"/>
        <w:adjustRightInd w:val="0"/>
      </w:pPr>
    </w:p>
    <w:p w:rsidR="006C4EF4" w:rsidRPr="006C4EF4" w:rsidRDefault="006C4EF4" w:rsidP="006B744F">
      <w:pPr>
        <w:autoSpaceDE w:val="0"/>
        <w:autoSpaceDN w:val="0"/>
        <w:adjustRightInd w:val="0"/>
        <w:rPr>
          <w:b/>
        </w:rPr>
      </w:pPr>
      <w:r w:rsidRPr="006C4EF4">
        <w:rPr>
          <w:b/>
        </w:rPr>
        <w:t>Market share</w:t>
      </w:r>
    </w:p>
    <w:p w:rsidR="006C4EF4" w:rsidRDefault="006C4EF4" w:rsidP="006B744F">
      <w:pPr>
        <w:autoSpaceDE w:val="0"/>
        <w:autoSpaceDN w:val="0"/>
        <w:adjustRightInd w:val="0"/>
      </w:pPr>
    </w:p>
    <w:p w:rsidR="006F4CAD" w:rsidRDefault="006F4CAD" w:rsidP="005D6667">
      <w:pPr>
        <w:pStyle w:val="ListParagraph"/>
        <w:numPr>
          <w:ilvl w:val="0"/>
          <w:numId w:val="1"/>
        </w:numPr>
        <w:autoSpaceDE w:val="0"/>
        <w:autoSpaceDN w:val="0"/>
        <w:adjustRightInd w:val="0"/>
        <w:ind w:left="360"/>
      </w:pPr>
      <w:r w:rsidRPr="006F4CAD">
        <w:t>Over the last five years there has been a change in the work that A</w:t>
      </w:r>
      <w:r w:rsidR="002A05A1">
        <w:t>Is</w:t>
      </w:r>
      <w:r w:rsidRPr="006F4CAD">
        <w:t xml:space="preserve"> undertake away from m</w:t>
      </w:r>
      <w:r w:rsidR="006B74FE">
        <w:t>ostly</w:t>
      </w:r>
      <w:r w:rsidRPr="006F4CAD">
        <w:t xml:space="preserve"> commercial/residential developments towards the domestic market, including some quite minor works. There is now </w:t>
      </w:r>
      <w:r w:rsidR="002A05A1">
        <w:t xml:space="preserve">considerable </w:t>
      </w:r>
      <w:r w:rsidRPr="006F4CAD">
        <w:t>competition for domestic extensions, loft conversions and conversions to dwellings, work which was traditionally carried out by the Local Authority.</w:t>
      </w:r>
    </w:p>
    <w:p w:rsidR="006F4CAD" w:rsidRDefault="006F4CAD" w:rsidP="005D6667"/>
    <w:p w:rsidR="006C4EF4" w:rsidRDefault="008B34EB" w:rsidP="005D6667">
      <w:pPr>
        <w:pStyle w:val="ListParagraph"/>
        <w:numPr>
          <w:ilvl w:val="0"/>
          <w:numId w:val="1"/>
        </w:numPr>
        <w:ind w:left="360"/>
      </w:pPr>
      <w:r>
        <w:t>An A</w:t>
      </w:r>
      <w:r w:rsidR="002A05A1">
        <w:t>I</w:t>
      </w:r>
      <w:r>
        <w:t xml:space="preserve"> submits an initial notice to the Council when they have been appointed to inspect the work so it is possible to analyse their market share. </w:t>
      </w:r>
      <w:r w:rsidR="00724905">
        <w:t xml:space="preserve">The </w:t>
      </w:r>
      <w:r>
        <w:t xml:space="preserve">numbers of initial notices deposited </w:t>
      </w:r>
      <w:r w:rsidR="00BA1988">
        <w:t xml:space="preserve">from </w:t>
      </w:r>
      <w:r w:rsidR="00724905">
        <w:t xml:space="preserve">2011 to 2016 </w:t>
      </w:r>
      <w:r>
        <w:t>by A</w:t>
      </w:r>
      <w:r w:rsidR="002A05A1">
        <w:t>Is</w:t>
      </w:r>
      <w:r>
        <w:t xml:space="preserve"> more than doubled. </w:t>
      </w:r>
    </w:p>
    <w:p w:rsidR="00BA1988" w:rsidRDefault="00BA1988" w:rsidP="008B34EB"/>
    <w:tbl>
      <w:tblPr>
        <w:tblW w:w="91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276"/>
        <w:gridCol w:w="1276"/>
        <w:gridCol w:w="1134"/>
        <w:gridCol w:w="1134"/>
        <w:gridCol w:w="1276"/>
        <w:gridCol w:w="1337"/>
      </w:tblGrid>
      <w:tr w:rsidR="000D014F" w:rsidRPr="002F0489" w:rsidTr="000D014F">
        <w:trPr>
          <w:trHeight w:val="300"/>
        </w:trPr>
        <w:tc>
          <w:tcPr>
            <w:tcW w:w="1716" w:type="dxa"/>
            <w:shd w:val="clear" w:color="auto" w:fill="auto"/>
            <w:noWrap/>
            <w:vAlign w:val="bottom"/>
            <w:hideMark/>
          </w:tcPr>
          <w:p w:rsidR="000D014F" w:rsidRPr="000D014F" w:rsidRDefault="000D014F">
            <w:pPr>
              <w:rPr>
                <w:color w:val="000000"/>
              </w:rPr>
            </w:pPr>
          </w:p>
        </w:tc>
        <w:tc>
          <w:tcPr>
            <w:tcW w:w="1276" w:type="dxa"/>
            <w:vAlign w:val="bottom"/>
          </w:tcPr>
          <w:p w:rsidR="000D014F" w:rsidRPr="000D014F" w:rsidRDefault="000D014F" w:rsidP="000D014F">
            <w:pPr>
              <w:jc w:val="right"/>
              <w:rPr>
                <w:color w:val="000000"/>
              </w:rPr>
            </w:pPr>
            <w:r w:rsidRPr="000D014F">
              <w:rPr>
                <w:color w:val="000000"/>
              </w:rPr>
              <w:t>2011-12</w:t>
            </w:r>
          </w:p>
        </w:tc>
        <w:tc>
          <w:tcPr>
            <w:tcW w:w="1276" w:type="dxa"/>
            <w:shd w:val="clear" w:color="auto" w:fill="auto"/>
            <w:noWrap/>
            <w:vAlign w:val="bottom"/>
            <w:hideMark/>
          </w:tcPr>
          <w:p w:rsidR="000D014F" w:rsidRPr="000D014F" w:rsidRDefault="000D014F" w:rsidP="000D014F">
            <w:pPr>
              <w:jc w:val="right"/>
              <w:rPr>
                <w:color w:val="000000"/>
              </w:rPr>
            </w:pPr>
            <w:r w:rsidRPr="000D014F">
              <w:rPr>
                <w:color w:val="000000"/>
              </w:rPr>
              <w:t>2012-13</w:t>
            </w:r>
          </w:p>
        </w:tc>
        <w:tc>
          <w:tcPr>
            <w:tcW w:w="1134" w:type="dxa"/>
            <w:shd w:val="clear" w:color="auto" w:fill="auto"/>
            <w:noWrap/>
            <w:vAlign w:val="bottom"/>
            <w:hideMark/>
          </w:tcPr>
          <w:p w:rsidR="000D014F" w:rsidRPr="000D014F" w:rsidRDefault="000D014F" w:rsidP="000D014F">
            <w:pPr>
              <w:jc w:val="right"/>
              <w:rPr>
                <w:color w:val="000000"/>
              </w:rPr>
            </w:pPr>
            <w:r w:rsidRPr="000D014F">
              <w:rPr>
                <w:color w:val="000000"/>
              </w:rPr>
              <w:t>2013-14</w:t>
            </w:r>
          </w:p>
        </w:tc>
        <w:tc>
          <w:tcPr>
            <w:tcW w:w="1134" w:type="dxa"/>
            <w:shd w:val="clear" w:color="auto" w:fill="auto"/>
            <w:noWrap/>
            <w:vAlign w:val="bottom"/>
            <w:hideMark/>
          </w:tcPr>
          <w:p w:rsidR="000D014F" w:rsidRPr="000D014F" w:rsidRDefault="000D014F" w:rsidP="000D014F">
            <w:pPr>
              <w:jc w:val="right"/>
              <w:rPr>
                <w:color w:val="000000"/>
              </w:rPr>
            </w:pPr>
            <w:r w:rsidRPr="000D014F">
              <w:rPr>
                <w:color w:val="000000"/>
              </w:rPr>
              <w:t>2014-15</w:t>
            </w:r>
          </w:p>
        </w:tc>
        <w:tc>
          <w:tcPr>
            <w:tcW w:w="1276" w:type="dxa"/>
            <w:shd w:val="clear" w:color="auto" w:fill="auto"/>
            <w:noWrap/>
            <w:vAlign w:val="bottom"/>
            <w:hideMark/>
          </w:tcPr>
          <w:p w:rsidR="000D014F" w:rsidRPr="000D014F" w:rsidRDefault="000D014F" w:rsidP="000D014F">
            <w:pPr>
              <w:jc w:val="right"/>
              <w:rPr>
                <w:color w:val="000000"/>
              </w:rPr>
            </w:pPr>
            <w:r w:rsidRPr="000D014F">
              <w:rPr>
                <w:color w:val="000000"/>
              </w:rPr>
              <w:t>2015-16</w:t>
            </w:r>
          </w:p>
        </w:tc>
        <w:tc>
          <w:tcPr>
            <w:tcW w:w="1337" w:type="dxa"/>
            <w:shd w:val="clear" w:color="auto" w:fill="auto"/>
            <w:noWrap/>
            <w:vAlign w:val="bottom"/>
            <w:hideMark/>
          </w:tcPr>
          <w:p w:rsidR="000D014F" w:rsidRPr="000D014F" w:rsidRDefault="000D014F" w:rsidP="000D014F">
            <w:pPr>
              <w:jc w:val="right"/>
              <w:rPr>
                <w:color w:val="000000"/>
              </w:rPr>
            </w:pPr>
            <w:r w:rsidRPr="000D014F">
              <w:rPr>
                <w:color w:val="000000"/>
              </w:rPr>
              <w:t>2016-17</w:t>
            </w:r>
          </w:p>
        </w:tc>
      </w:tr>
      <w:tr w:rsidR="000D014F" w:rsidRPr="00A46525" w:rsidTr="000D014F">
        <w:trPr>
          <w:trHeight w:val="300"/>
        </w:trPr>
        <w:tc>
          <w:tcPr>
            <w:tcW w:w="1716" w:type="dxa"/>
            <w:shd w:val="clear" w:color="auto" w:fill="auto"/>
            <w:noWrap/>
            <w:vAlign w:val="bottom"/>
            <w:hideMark/>
          </w:tcPr>
          <w:p w:rsidR="000D014F" w:rsidRPr="000D014F" w:rsidRDefault="000D014F">
            <w:pPr>
              <w:rPr>
                <w:color w:val="000000"/>
              </w:rPr>
            </w:pPr>
            <w:r w:rsidRPr="000D014F">
              <w:rPr>
                <w:color w:val="000000"/>
              </w:rPr>
              <w:t>Applications</w:t>
            </w:r>
          </w:p>
        </w:tc>
        <w:tc>
          <w:tcPr>
            <w:tcW w:w="1276" w:type="dxa"/>
            <w:vAlign w:val="bottom"/>
          </w:tcPr>
          <w:p w:rsidR="000D014F" w:rsidRPr="000D014F" w:rsidRDefault="000D014F">
            <w:pPr>
              <w:jc w:val="right"/>
              <w:rPr>
                <w:color w:val="000000"/>
              </w:rPr>
            </w:pPr>
            <w:r w:rsidRPr="000D014F">
              <w:rPr>
                <w:color w:val="000000"/>
              </w:rPr>
              <w:t>1221</w:t>
            </w:r>
          </w:p>
        </w:tc>
        <w:tc>
          <w:tcPr>
            <w:tcW w:w="1276" w:type="dxa"/>
            <w:shd w:val="clear" w:color="auto" w:fill="auto"/>
            <w:noWrap/>
            <w:vAlign w:val="bottom"/>
            <w:hideMark/>
          </w:tcPr>
          <w:p w:rsidR="000D014F" w:rsidRPr="000D014F" w:rsidRDefault="000D014F">
            <w:pPr>
              <w:jc w:val="right"/>
              <w:rPr>
                <w:color w:val="000000"/>
              </w:rPr>
            </w:pPr>
            <w:r w:rsidRPr="000D014F">
              <w:rPr>
                <w:color w:val="000000"/>
              </w:rPr>
              <w:t>1183</w:t>
            </w:r>
          </w:p>
        </w:tc>
        <w:tc>
          <w:tcPr>
            <w:tcW w:w="1134" w:type="dxa"/>
            <w:shd w:val="clear" w:color="auto" w:fill="auto"/>
            <w:noWrap/>
            <w:vAlign w:val="bottom"/>
            <w:hideMark/>
          </w:tcPr>
          <w:p w:rsidR="000D014F" w:rsidRPr="000D014F" w:rsidRDefault="000D014F">
            <w:pPr>
              <w:jc w:val="right"/>
              <w:rPr>
                <w:color w:val="000000"/>
              </w:rPr>
            </w:pPr>
            <w:r w:rsidRPr="000D014F">
              <w:rPr>
                <w:color w:val="000000"/>
              </w:rPr>
              <w:t>1130</w:t>
            </w:r>
          </w:p>
        </w:tc>
        <w:tc>
          <w:tcPr>
            <w:tcW w:w="1134" w:type="dxa"/>
            <w:shd w:val="clear" w:color="auto" w:fill="auto"/>
            <w:noWrap/>
            <w:vAlign w:val="bottom"/>
            <w:hideMark/>
          </w:tcPr>
          <w:p w:rsidR="000D014F" w:rsidRPr="000D014F" w:rsidRDefault="000D014F">
            <w:pPr>
              <w:jc w:val="right"/>
              <w:rPr>
                <w:color w:val="000000"/>
              </w:rPr>
            </w:pPr>
            <w:r w:rsidRPr="000D014F">
              <w:rPr>
                <w:color w:val="000000"/>
              </w:rPr>
              <w:t>900</w:t>
            </w:r>
          </w:p>
        </w:tc>
        <w:tc>
          <w:tcPr>
            <w:tcW w:w="1276" w:type="dxa"/>
            <w:shd w:val="clear" w:color="auto" w:fill="auto"/>
            <w:noWrap/>
            <w:vAlign w:val="bottom"/>
            <w:hideMark/>
          </w:tcPr>
          <w:p w:rsidR="000D014F" w:rsidRPr="000D014F" w:rsidRDefault="000D014F">
            <w:pPr>
              <w:jc w:val="right"/>
              <w:rPr>
                <w:color w:val="000000"/>
              </w:rPr>
            </w:pPr>
            <w:r w:rsidRPr="000D014F">
              <w:rPr>
                <w:color w:val="000000"/>
              </w:rPr>
              <w:t>957</w:t>
            </w:r>
          </w:p>
        </w:tc>
        <w:tc>
          <w:tcPr>
            <w:tcW w:w="1337" w:type="dxa"/>
            <w:shd w:val="clear" w:color="auto" w:fill="auto"/>
            <w:noWrap/>
            <w:vAlign w:val="bottom"/>
            <w:hideMark/>
          </w:tcPr>
          <w:p w:rsidR="000D014F" w:rsidRPr="000D014F" w:rsidRDefault="0042118B">
            <w:pPr>
              <w:jc w:val="right"/>
              <w:rPr>
                <w:color w:val="000000"/>
              </w:rPr>
            </w:pPr>
            <w:r>
              <w:rPr>
                <w:color w:val="000000"/>
              </w:rPr>
              <w:t>871</w:t>
            </w:r>
          </w:p>
        </w:tc>
      </w:tr>
      <w:tr w:rsidR="000D014F" w:rsidRPr="002F0489" w:rsidTr="000D014F">
        <w:trPr>
          <w:trHeight w:val="300"/>
        </w:trPr>
        <w:tc>
          <w:tcPr>
            <w:tcW w:w="1716" w:type="dxa"/>
            <w:shd w:val="clear" w:color="auto" w:fill="auto"/>
            <w:noWrap/>
            <w:vAlign w:val="bottom"/>
          </w:tcPr>
          <w:p w:rsidR="000D014F" w:rsidRPr="000D014F" w:rsidRDefault="000D014F">
            <w:pPr>
              <w:rPr>
                <w:color w:val="000000"/>
              </w:rPr>
            </w:pPr>
            <w:r w:rsidRPr="000D014F">
              <w:rPr>
                <w:color w:val="000000"/>
              </w:rPr>
              <w:t>Initial Notices</w:t>
            </w:r>
          </w:p>
        </w:tc>
        <w:tc>
          <w:tcPr>
            <w:tcW w:w="1276" w:type="dxa"/>
            <w:vAlign w:val="bottom"/>
          </w:tcPr>
          <w:p w:rsidR="000D014F" w:rsidRPr="000D014F" w:rsidRDefault="000D014F">
            <w:pPr>
              <w:jc w:val="right"/>
              <w:rPr>
                <w:color w:val="000000"/>
              </w:rPr>
            </w:pPr>
            <w:r w:rsidRPr="000D014F">
              <w:rPr>
                <w:color w:val="000000"/>
              </w:rPr>
              <w:t>231</w:t>
            </w:r>
          </w:p>
        </w:tc>
        <w:tc>
          <w:tcPr>
            <w:tcW w:w="1276" w:type="dxa"/>
            <w:shd w:val="clear" w:color="auto" w:fill="auto"/>
            <w:noWrap/>
            <w:vAlign w:val="bottom"/>
          </w:tcPr>
          <w:p w:rsidR="000D014F" w:rsidRPr="000D014F" w:rsidRDefault="000D014F">
            <w:pPr>
              <w:jc w:val="right"/>
              <w:rPr>
                <w:color w:val="000000"/>
              </w:rPr>
            </w:pPr>
            <w:r w:rsidRPr="000D014F">
              <w:rPr>
                <w:color w:val="000000"/>
              </w:rPr>
              <w:t>248</w:t>
            </w:r>
          </w:p>
        </w:tc>
        <w:tc>
          <w:tcPr>
            <w:tcW w:w="1134" w:type="dxa"/>
            <w:shd w:val="clear" w:color="auto" w:fill="auto"/>
            <w:noWrap/>
            <w:vAlign w:val="bottom"/>
          </w:tcPr>
          <w:p w:rsidR="000D014F" w:rsidRPr="000D014F" w:rsidRDefault="000D014F">
            <w:pPr>
              <w:jc w:val="right"/>
              <w:rPr>
                <w:color w:val="000000"/>
              </w:rPr>
            </w:pPr>
            <w:r w:rsidRPr="000D014F">
              <w:rPr>
                <w:color w:val="000000"/>
              </w:rPr>
              <w:t>405</w:t>
            </w:r>
          </w:p>
        </w:tc>
        <w:tc>
          <w:tcPr>
            <w:tcW w:w="1134" w:type="dxa"/>
            <w:shd w:val="clear" w:color="auto" w:fill="auto"/>
            <w:noWrap/>
            <w:vAlign w:val="bottom"/>
          </w:tcPr>
          <w:p w:rsidR="000D014F" w:rsidRPr="000D014F" w:rsidRDefault="000D014F">
            <w:pPr>
              <w:jc w:val="right"/>
              <w:rPr>
                <w:color w:val="000000"/>
              </w:rPr>
            </w:pPr>
            <w:r w:rsidRPr="000D014F">
              <w:rPr>
                <w:color w:val="000000"/>
              </w:rPr>
              <w:t>603</w:t>
            </w:r>
          </w:p>
        </w:tc>
        <w:tc>
          <w:tcPr>
            <w:tcW w:w="1276" w:type="dxa"/>
            <w:shd w:val="clear" w:color="auto" w:fill="auto"/>
            <w:noWrap/>
            <w:vAlign w:val="bottom"/>
          </w:tcPr>
          <w:p w:rsidR="000D014F" w:rsidRPr="000D014F" w:rsidRDefault="000D014F">
            <w:pPr>
              <w:jc w:val="right"/>
              <w:rPr>
                <w:color w:val="000000"/>
              </w:rPr>
            </w:pPr>
            <w:r w:rsidRPr="000D014F">
              <w:rPr>
                <w:color w:val="000000"/>
              </w:rPr>
              <w:t>521</w:t>
            </w:r>
          </w:p>
        </w:tc>
        <w:tc>
          <w:tcPr>
            <w:tcW w:w="1337" w:type="dxa"/>
            <w:shd w:val="clear" w:color="auto" w:fill="auto"/>
            <w:noWrap/>
            <w:vAlign w:val="bottom"/>
          </w:tcPr>
          <w:p w:rsidR="000D014F" w:rsidRPr="000D014F" w:rsidRDefault="000D014F">
            <w:pPr>
              <w:jc w:val="right"/>
              <w:rPr>
                <w:color w:val="000000"/>
              </w:rPr>
            </w:pPr>
            <w:r w:rsidRPr="000D014F">
              <w:rPr>
                <w:color w:val="000000"/>
              </w:rPr>
              <w:t>576</w:t>
            </w:r>
          </w:p>
        </w:tc>
      </w:tr>
      <w:tr w:rsidR="000D014F" w:rsidRPr="002F0489" w:rsidTr="000D014F">
        <w:trPr>
          <w:trHeight w:val="300"/>
        </w:trPr>
        <w:tc>
          <w:tcPr>
            <w:tcW w:w="1716" w:type="dxa"/>
            <w:shd w:val="clear" w:color="auto" w:fill="auto"/>
            <w:noWrap/>
            <w:vAlign w:val="bottom"/>
          </w:tcPr>
          <w:p w:rsidR="000D014F" w:rsidRPr="000D014F" w:rsidRDefault="000D014F">
            <w:pPr>
              <w:rPr>
                <w:color w:val="000000"/>
              </w:rPr>
            </w:pPr>
            <w:r w:rsidRPr="000D014F">
              <w:rPr>
                <w:color w:val="000000"/>
              </w:rPr>
              <w:t>Total</w:t>
            </w:r>
          </w:p>
        </w:tc>
        <w:tc>
          <w:tcPr>
            <w:tcW w:w="1276" w:type="dxa"/>
            <w:vAlign w:val="bottom"/>
          </w:tcPr>
          <w:p w:rsidR="000D014F" w:rsidRPr="000D014F" w:rsidRDefault="000D014F">
            <w:pPr>
              <w:jc w:val="right"/>
              <w:rPr>
                <w:color w:val="000000"/>
              </w:rPr>
            </w:pPr>
            <w:r w:rsidRPr="000D014F">
              <w:rPr>
                <w:color w:val="000000"/>
              </w:rPr>
              <w:t>1452</w:t>
            </w:r>
          </w:p>
        </w:tc>
        <w:tc>
          <w:tcPr>
            <w:tcW w:w="1276" w:type="dxa"/>
            <w:shd w:val="clear" w:color="auto" w:fill="auto"/>
            <w:noWrap/>
            <w:vAlign w:val="bottom"/>
          </w:tcPr>
          <w:p w:rsidR="000D014F" w:rsidRPr="000D014F" w:rsidRDefault="000D014F">
            <w:pPr>
              <w:jc w:val="right"/>
              <w:rPr>
                <w:color w:val="000000"/>
              </w:rPr>
            </w:pPr>
            <w:r w:rsidRPr="000D014F">
              <w:rPr>
                <w:color w:val="000000"/>
              </w:rPr>
              <w:t>1431</w:t>
            </w:r>
          </w:p>
        </w:tc>
        <w:tc>
          <w:tcPr>
            <w:tcW w:w="1134" w:type="dxa"/>
            <w:shd w:val="clear" w:color="auto" w:fill="auto"/>
            <w:noWrap/>
            <w:vAlign w:val="bottom"/>
          </w:tcPr>
          <w:p w:rsidR="000D014F" w:rsidRPr="000D014F" w:rsidRDefault="000D014F">
            <w:pPr>
              <w:jc w:val="right"/>
              <w:rPr>
                <w:color w:val="000000"/>
              </w:rPr>
            </w:pPr>
            <w:r w:rsidRPr="000D014F">
              <w:rPr>
                <w:color w:val="000000"/>
              </w:rPr>
              <w:t>1535</w:t>
            </w:r>
          </w:p>
        </w:tc>
        <w:tc>
          <w:tcPr>
            <w:tcW w:w="1134" w:type="dxa"/>
            <w:shd w:val="clear" w:color="auto" w:fill="auto"/>
            <w:noWrap/>
            <w:vAlign w:val="bottom"/>
          </w:tcPr>
          <w:p w:rsidR="000D014F" w:rsidRPr="000D014F" w:rsidRDefault="000D014F">
            <w:pPr>
              <w:jc w:val="right"/>
              <w:rPr>
                <w:color w:val="000000"/>
              </w:rPr>
            </w:pPr>
            <w:r w:rsidRPr="000D014F">
              <w:rPr>
                <w:color w:val="000000"/>
              </w:rPr>
              <w:t>1503</w:t>
            </w:r>
          </w:p>
        </w:tc>
        <w:tc>
          <w:tcPr>
            <w:tcW w:w="1276" w:type="dxa"/>
            <w:shd w:val="clear" w:color="auto" w:fill="auto"/>
            <w:noWrap/>
            <w:vAlign w:val="bottom"/>
          </w:tcPr>
          <w:p w:rsidR="000D014F" w:rsidRPr="000D014F" w:rsidRDefault="000D014F">
            <w:pPr>
              <w:jc w:val="right"/>
              <w:rPr>
                <w:color w:val="000000"/>
              </w:rPr>
            </w:pPr>
            <w:r w:rsidRPr="000D014F">
              <w:rPr>
                <w:color w:val="000000"/>
              </w:rPr>
              <w:t>1478</w:t>
            </w:r>
          </w:p>
        </w:tc>
        <w:tc>
          <w:tcPr>
            <w:tcW w:w="1337" w:type="dxa"/>
            <w:shd w:val="clear" w:color="auto" w:fill="auto"/>
            <w:noWrap/>
            <w:vAlign w:val="bottom"/>
          </w:tcPr>
          <w:p w:rsidR="000D014F" w:rsidRPr="000D014F" w:rsidRDefault="0042118B">
            <w:pPr>
              <w:jc w:val="right"/>
              <w:rPr>
                <w:color w:val="000000"/>
              </w:rPr>
            </w:pPr>
            <w:r>
              <w:rPr>
                <w:color w:val="000000"/>
              </w:rPr>
              <w:t>14</w:t>
            </w:r>
            <w:r w:rsidR="000D014F" w:rsidRPr="000D014F">
              <w:rPr>
                <w:color w:val="000000"/>
              </w:rPr>
              <w:t>4</w:t>
            </w:r>
            <w:r>
              <w:rPr>
                <w:color w:val="000000"/>
              </w:rPr>
              <w:t>7</w:t>
            </w:r>
          </w:p>
        </w:tc>
      </w:tr>
      <w:tr w:rsidR="008844BE" w:rsidRPr="002F0489" w:rsidTr="000D014F">
        <w:trPr>
          <w:trHeight w:val="300"/>
        </w:trPr>
        <w:tc>
          <w:tcPr>
            <w:tcW w:w="1716" w:type="dxa"/>
            <w:shd w:val="clear" w:color="auto" w:fill="auto"/>
            <w:noWrap/>
            <w:vAlign w:val="bottom"/>
          </w:tcPr>
          <w:p w:rsidR="008844BE" w:rsidRPr="000D014F" w:rsidRDefault="00AE06C0">
            <w:pPr>
              <w:rPr>
                <w:color w:val="000000"/>
              </w:rPr>
            </w:pPr>
            <w:r>
              <w:rPr>
                <w:color w:val="000000"/>
              </w:rPr>
              <w:t xml:space="preserve">Council </w:t>
            </w:r>
            <w:r w:rsidR="008844BE">
              <w:rPr>
                <w:color w:val="000000"/>
              </w:rPr>
              <w:t>Market Share</w:t>
            </w:r>
          </w:p>
        </w:tc>
        <w:tc>
          <w:tcPr>
            <w:tcW w:w="1276" w:type="dxa"/>
            <w:vAlign w:val="bottom"/>
          </w:tcPr>
          <w:p w:rsidR="008844BE" w:rsidRPr="000D014F" w:rsidRDefault="008844BE">
            <w:pPr>
              <w:jc w:val="right"/>
              <w:rPr>
                <w:color w:val="000000"/>
              </w:rPr>
            </w:pPr>
            <w:r>
              <w:rPr>
                <w:color w:val="000000"/>
              </w:rPr>
              <w:t>84</w:t>
            </w:r>
          </w:p>
        </w:tc>
        <w:tc>
          <w:tcPr>
            <w:tcW w:w="1276" w:type="dxa"/>
            <w:shd w:val="clear" w:color="auto" w:fill="auto"/>
            <w:noWrap/>
            <w:vAlign w:val="bottom"/>
          </w:tcPr>
          <w:p w:rsidR="008844BE" w:rsidRPr="000D014F" w:rsidRDefault="008844BE">
            <w:pPr>
              <w:jc w:val="right"/>
              <w:rPr>
                <w:color w:val="000000"/>
              </w:rPr>
            </w:pPr>
            <w:r>
              <w:rPr>
                <w:color w:val="000000"/>
              </w:rPr>
              <w:t>83</w:t>
            </w:r>
          </w:p>
        </w:tc>
        <w:tc>
          <w:tcPr>
            <w:tcW w:w="1134" w:type="dxa"/>
            <w:shd w:val="clear" w:color="auto" w:fill="auto"/>
            <w:noWrap/>
            <w:vAlign w:val="bottom"/>
          </w:tcPr>
          <w:p w:rsidR="008844BE" w:rsidRPr="000D014F" w:rsidRDefault="008844BE">
            <w:pPr>
              <w:jc w:val="right"/>
              <w:rPr>
                <w:color w:val="000000"/>
              </w:rPr>
            </w:pPr>
            <w:r>
              <w:rPr>
                <w:color w:val="000000"/>
              </w:rPr>
              <w:t>74</w:t>
            </w:r>
          </w:p>
        </w:tc>
        <w:tc>
          <w:tcPr>
            <w:tcW w:w="1134" w:type="dxa"/>
            <w:shd w:val="clear" w:color="auto" w:fill="auto"/>
            <w:noWrap/>
            <w:vAlign w:val="bottom"/>
          </w:tcPr>
          <w:p w:rsidR="008844BE" w:rsidRPr="000D014F" w:rsidRDefault="008844BE">
            <w:pPr>
              <w:jc w:val="right"/>
              <w:rPr>
                <w:color w:val="000000"/>
              </w:rPr>
            </w:pPr>
            <w:r>
              <w:rPr>
                <w:color w:val="000000"/>
              </w:rPr>
              <w:t>60</w:t>
            </w:r>
          </w:p>
        </w:tc>
        <w:tc>
          <w:tcPr>
            <w:tcW w:w="1276" w:type="dxa"/>
            <w:shd w:val="clear" w:color="auto" w:fill="auto"/>
            <w:noWrap/>
            <w:vAlign w:val="bottom"/>
          </w:tcPr>
          <w:p w:rsidR="008844BE" w:rsidRPr="000D014F" w:rsidRDefault="008844BE">
            <w:pPr>
              <w:jc w:val="right"/>
              <w:rPr>
                <w:color w:val="000000"/>
              </w:rPr>
            </w:pPr>
            <w:r>
              <w:rPr>
                <w:color w:val="000000"/>
              </w:rPr>
              <w:t>65</w:t>
            </w:r>
          </w:p>
        </w:tc>
        <w:tc>
          <w:tcPr>
            <w:tcW w:w="1337" w:type="dxa"/>
            <w:shd w:val="clear" w:color="auto" w:fill="auto"/>
            <w:noWrap/>
            <w:vAlign w:val="bottom"/>
          </w:tcPr>
          <w:p w:rsidR="008844BE" w:rsidRPr="000D014F" w:rsidRDefault="008844BE">
            <w:pPr>
              <w:jc w:val="right"/>
              <w:rPr>
                <w:color w:val="000000"/>
              </w:rPr>
            </w:pPr>
            <w:r>
              <w:rPr>
                <w:color w:val="000000"/>
              </w:rPr>
              <w:t>60</w:t>
            </w:r>
          </w:p>
        </w:tc>
      </w:tr>
    </w:tbl>
    <w:p w:rsidR="00BA1988" w:rsidRDefault="00BA1988" w:rsidP="008B34EB"/>
    <w:p w:rsidR="00BA1988" w:rsidRDefault="00BA1988" w:rsidP="005D6667">
      <w:pPr>
        <w:pStyle w:val="ListParagraph"/>
        <w:numPr>
          <w:ilvl w:val="0"/>
          <w:numId w:val="1"/>
        </w:numPr>
        <w:ind w:left="360"/>
      </w:pPr>
      <w:r>
        <w:t>There was a decline in market share for the Council from 2012 with the A</w:t>
      </w:r>
      <w:r w:rsidR="002A05A1">
        <w:t>I</w:t>
      </w:r>
      <w:r>
        <w:t xml:space="preserve"> market share peaking at 40% in 2014/15. The decline in the Council’s market share in 2014/15 </w:t>
      </w:r>
      <w:r w:rsidR="009F54F5">
        <w:t>occurred at the same time as</w:t>
      </w:r>
      <w:r>
        <w:t xml:space="preserve"> </w:t>
      </w:r>
      <w:r w:rsidR="009F54F5">
        <w:t xml:space="preserve">the Building Control Team Leader and a Senior Building Control Surveyor </w:t>
      </w:r>
      <w:r>
        <w:t>left the Council to</w:t>
      </w:r>
      <w:r w:rsidR="006F4CAD">
        <w:t xml:space="preserve"> work </w:t>
      </w:r>
      <w:r>
        <w:t xml:space="preserve">as </w:t>
      </w:r>
      <w:r w:rsidR="002A05A1">
        <w:t>AI</w:t>
      </w:r>
      <w:r>
        <w:t xml:space="preserve">s. </w:t>
      </w:r>
    </w:p>
    <w:p w:rsidR="006F4CAD" w:rsidRDefault="006F4CAD" w:rsidP="005D6667"/>
    <w:p w:rsidR="00BA1988" w:rsidRDefault="00BA1988" w:rsidP="005D6667">
      <w:pPr>
        <w:pStyle w:val="ListParagraph"/>
        <w:numPr>
          <w:ilvl w:val="0"/>
          <w:numId w:val="1"/>
        </w:numPr>
        <w:ind w:left="360"/>
      </w:pPr>
      <w:r>
        <w:t>Th</w:t>
      </w:r>
      <w:r w:rsidR="006F4CAD">
        <w:t>e A</w:t>
      </w:r>
      <w:r w:rsidR="002A05A1">
        <w:t>I</w:t>
      </w:r>
      <w:r w:rsidR="006F4CAD">
        <w:t>s rise in market share h</w:t>
      </w:r>
      <w:r>
        <w:t xml:space="preserve">as stabilised </w:t>
      </w:r>
      <w:r w:rsidR="006F4CAD">
        <w:t>since 201</w:t>
      </w:r>
      <w:r w:rsidR="008844BE">
        <w:t>4</w:t>
      </w:r>
      <w:r w:rsidR="006F4CAD">
        <w:t>/1</w:t>
      </w:r>
      <w:r w:rsidR="008844BE">
        <w:t>5</w:t>
      </w:r>
      <w:r w:rsidR="006F4CAD">
        <w:t xml:space="preserve"> </w:t>
      </w:r>
      <w:r>
        <w:t>with the</w:t>
      </w:r>
      <w:r w:rsidR="002A05A1">
        <w:t>ir</w:t>
      </w:r>
      <w:r>
        <w:t xml:space="preserve"> market share at </w:t>
      </w:r>
      <w:r w:rsidR="000D014F">
        <w:t>40</w:t>
      </w:r>
      <w:r>
        <w:t>% and the Council’s market share at 6</w:t>
      </w:r>
      <w:r w:rsidR="000D014F">
        <w:t>0</w:t>
      </w:r>
      <w:r>
        <w:t xml:space="preserve">%. </w:t>
      </w:r>
    </w:p>
    <w:p w:rsidR="00724905" w:rsidRDefault="00724905" w:rsidP="008B34EB"/>
    <w:p w:rsidR="00724905" w:rsidRDefault="000D014F" w:rsidP="008B34EB">
      <w:r>
        <w:rPr>
          <w:noProof/>
          <w:lang w:eastAsia="en-GB"/>
        </w:rPr>
        <w:lastRenderedPageBreak/>
        <w:drawing>
          <wp:inline distT="0" distB="0" distL="0" distR="0" wp14:anchorId="1EE68802" wp14:editId="0CFC8368">
            <wp:extent cx="5743575" cy="25527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4DDA" w:rsidRDefault="00674DDA" w:rsidP="00674DDA">
      <w:pPr>
        <w:ind w:left="360"/>
      </w:pPr>
    </w:p>
    <w:p w:rsidR="00245B2D" w:rsidRDefault="006B744F" w:rsidP="005D6667">
      <w:pPr>
        <w:pStyle w:val="ListParagraph"/>
        <w:numPr>
          <w:ilvl w:val="0"/>
          <w:numId w:val="1"/>
        </w:numPr>
        <w:ind w:left="360"/>
      </w:pPr>
      <w:r>
        <w:t xml:space="preserve">It is difficult to obtain accurate data on local authority building control services including figures such as market share </w:t>
      </w:r>
      <w:r w:rsidR="002A05A1">
        <w:t xml:space="preserve">to be able to compare Oxford with other </w:t>
      </w:r>
      <w:r w:rsidR="00712640">
        <w:t>Council</w:t>
      </w:r>
      <w:r w:rsidR="002A05A1">
        <w:t>s</w:t>
      </w:r>
      <w:r w:rsidR="000B1F65">
        <w:t>. This is</w:t>
      </w:r>
      <w:r w:rsidR="002A05A1">
        <w:t xml:space="preserve"> </w:t>
      </w:r>
      <w:r>
        <w:t>because it is a com</w:t>
      </w:r>
      <w:r w:rsidR="006C4EF4">
        <w:t xml:space="preserve">mercial </w:t>
      </w:r>
      <w:r>
        <w:t xml:space="preserve">market and there are no statutory returns to the government for the service. </w:t>
      </w:r>
      <w:r w:rsidR="000B1F65">
        <w:t xml:space="preserve">However, research </w:t>
      </w:r>
      <w:r w:rsidR="009170B9">
        <w:t xml:space="preserve">and feedback from </w:t>
      </w:r>
      <w:r w:rsidR="003E553B">
        <w:t>LABC</w:t>
      </w:r>
      <w:r w:rsidR="009170B9">
        <w:t xml:space="preserve"> and other councils </w:t>
      </w:r>
      <w:r w:rsidR="000B1F65">
        <w:t>indicates that</w:t>
      </w:r>
      <w:r w:rsidR="009170B9">
        <w:t xml:space="preserve"> the exposure to competition has facilitated a growth in other service providers across the country. </w:t>
      </w:r>
      <w:r w:rsidR="000B1F65">
        <w:t xml:space="preserve"> </w:t>
      </w:r>
    </w:p>
    <w:p w:rsidR="00144EEB" w:rsidRDefault="00144EEB" w:rsidP="005D6667">
      <w:pPr>
        <w:pStyle w:val="ListParagraph"/>
        <w:ind w:left="360"/>
      </w:pPr>
    </w:p>
    <w:p w:rsidR="008B34EB" w:rsidRPr="002849A8" w:rsidRDefault="006F4CAD" w:rsidP="005D6667">
      <w:pPr>
        <w:pStyle w:val="ListParagraph"/>
        <w:numPr>
          <w:ilvl w:val="0"/>
          <w:numId w:val="1"/>
        </w:numPr>
        <w:ind w:left="360"/>
      </w:pPr>
      <w:r w:rsidRPr="00132704">
        <w:rPr>
          <w:rFonts w:eastAsia="Arial"/>
        </w:rPr>
        <w:t xml:space="preserve">The total </w:t>
      </w:r>
      <w:r w:rsidR="00F577C8" w:rsidRPr="00132704">
        <w:rPr>
          <w:rFonts w:eastAsia="Arial"/>
        </w:rPr>
        <w:t>Income declined in 2012</w:t>
      </w:r>
      <w:r w:rsidR="00E92CBA">
        <w:rPr>
          <w:rFonts w:eastAsia="Arial"/>
        </w:rPr>
        <w:t>/13</w:t>
      </w:r>
      <w:r w:rsidR="00F577C8" w:rsidRPr="00132704">
        <w:rPr>
          <w:rFonts w:eastAsia="Arial"/>
        </w:rPr>
        <w:t xml:space="preserve"> but has since remained relatively constant over the last three years. However, fees from the Westgate development accounted for 17% of the total in 2014/15</w:t>
      </w:r>
      <w:r w:rsidR="009F54F5">
        <w:rPr>
          <w:rFonts w:eastAsia="Arial"/>
        </w:rPr>
        <w:t xml:space="preserve">, </w:t>
      </w:r>
      <w:r w:rsidR="00F577C8" w:rsidRPr="00132704">
        <w:rPr>
          <w:rFonts w:eastAsia="Arial"/>
        </w:rPr>
        <w:t>18% in 2015/16</w:t>
      </w:r>
      <w:r w:rsidR="009F54F5">
        <w:rPr>
          <w:rFonts w:eastAsia="Arial"/>
        </w:rPr>
        <w:t xml:space="preserve"> and 19% in 2016/17</w:t>
      </w:r>
      <w:r w:rsidR="00F577C8" w:rsidRPr="00132704">
        <w:rPr>
          <w:rFonts w:eastAsia="Arial"/>
        </w:rPr>
        <w:t>.</w:t>
      </w:r>
      <w:r w:rsidR="000320B6">
        <w:rPr>
          <w:rFonts w:eastAsia="Arial"/>
        </w:rPr>
        <w:t xml:space="preserve"> As the Westgate centre will be completed in October </w:t>
      </w:r>
      <w:proofErr w:type="gramStart"/>
      <w:r w:rsidR="000320B6">
        <w:rPr>
          <w:rFonts w:eastAsia="Arial"/>
        </w:rPr>
        <w:t>2017</w:t>
      </w:r>
      <w:proofErr w:type="gramEnd"/>
      <w:r w:rsidR="000320B6">
        <w:rPr>
          <w:rFonts w:eastAsia="Arial"/>
        </w:rPr>
        <w:t xml:space="preserve"> it will be a </w:t>
      </w:r>
      <w:r w:rsidR="008A6D9D">
        <w:rPr>
          <w:rFonts w:eastAsia="Arial"/>
        </w:rPr>
        <w:t xml:space="preserve">significant </w:t>
      </w:r>
      <w:r w:rsidR="003E553B">
        <w:rPr>
          <w:rFonts w:eastAsia="Arial"/>
        </w:rPr>
        <w:t>challenge to make up</w:t>
      </w:r>
      <w:r w:rsidR="00E92CBA">
        <w:rPr>
          <w:rFonts w:eastAsia="Arial"/>
        </w:rPr>
        <w:t xml:space="preserve"> additional</w:t>
      </w:r>
      <w:r w:rsidR="003E553B">
        <w:rPr>
          <w:rFonts w:eastAsia="Arial"/>
        </w:rPr>
        <w:t xml:space="preserve"> </w:t>
      </w:r>
      <w:r w:rsidR="000320B6">
        <w:rPr>
          <w:rFonts w:eastAsia="Arial"/>
        </w:rPr>
        <w:t>income</w:t>
      </w:r>
      <w:r w:rsidR="003E553B">
        <w:rPr>
          <w:rFonts w:eastAsia="Arial"/>
        </w:rPr>
        <w:t xml:space="preserve"> of £80k p.a.</w:t>
      </w:r>
      <w:r w:rsidR="000320B6">
        <w:rPr>
          <w:rFonts w:eastAsia="Arial"/>
        </w:rPr>
        <w:t xml:space="preserve"> </w:t>
      </w:r>
    </w:p>
    <w:p w:rsidR="002849A8" w:rsidRDefault="002849A8" w:rsidP="002849A8">
      <w:pPr>
        <w:pStyle w:val="ListParagraph"/>
      </w:pPr>
    </w:p>
    <w:p w:rsidR="00CD10E0" w:rsidRDefault="00580709" w:rsidP="00CD10E0">
      <w:r>
        <w:rPr>
          <w:noProof/>
          <w:lang w:eastAsia="en-GB"/>
        </w:rPr>
        <w:drawing>
          <wp:inline distT="0" distB="0" distL="0" distR="0" wp14:anchorId="4E49D59E" wp14:editId="0194E804">
            <wp:extent cx="5715000" cy="30384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1DB4" w:rsidRDefault="00621DB4" w:rsidP="00621DB4"/>
    <w:p w:rsidR="001F3EE2" w:rsidRPr="0006327E" w:rsidRDefault="001F3EE2" w:rsidP="005D6667">
      <w:pPr>
        <w:pStyle w:val="ListParagraph"/>
        <w:numPr>
          <w:ilvl w:val="0"/>
          <w:numId w:val="1"/>
        </w:numPr>
        <w:ind w:left="426" w:hanging="426"/>
      </w:pPr>
      <w:r>
        <w:t xml:space="preserve">The </w:t>
      </w:r>
      <w:r w:rsidR="0006327E">
        <w:t xml:space="preserve">total </w:t>
      </w:r>
      <w:r>
        <w:t xml:space="preserve">costs </w:t>
      </w:r>
      <w:r w:rsidR="008A1B3B">
        <w:t xml:space="preserve">and income </w:t>
      </w:r>
      <w:r>
        <w:t xml:space="preserve">of the service have remained relatively stable since </w:t>
      </w:r>
      <w:r w:rsidRPr="0006327E">
        <w:t>2011/12</w:t>
      </w:r>
      <w:r w:rsidR="008A1B3B" w:rsidRPr="0006327E">
        <w:t xml:space="preserve"> when income was particularly high due to a higher number of larger jobs</w:t>
      </w:r>
      <w:r w:rsidRPr="0006327E">
        <w:t>.</w:t>
      </w:r>
    </w:p>
    <w:p w:rsidR="0006327E" w:rsidRDefault="0006327E" w:rsidP="00E92CBA"/>
    <w:p w:rsidR="00E92CBA" w:rsidRDefault="00E92CBA" w:rsidP="00E92CBA">
      <w:r>
        <w:rPr>
          <w:noProof/>
          <w:lang w:eastAsia="en-GB"/>
        </w:rPr>
        <w:drawing>
          <wp:inline distT="0" distB="0" distL="0" distR="0" wp14:anchorId="07888561" wp14:editId="1B717FB4">
            <wp:extent cx="5715000" cy="298132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327E" w:rsidRDefault="0006327E" w:rsidP="0006327E">
      <w:pPr>
        <w:pStyle w:val="ListParagraph"/>
      </w:pPr>
    </w:p>
    <w:p w:rsidR="0006327E" w:rsidRDefault="0006327E" w:rsidP="005D6667">
      <w:pPr>
        <w:pStyle w:val="ListParagraph"/>
        <w:numPr>
          <w:ilvl w:val="0"/>
          <w:numId w:val="1"/>
        </w:numPr>
        <w:ind w:left="426"/>
      </w:pPr>
      <w:r>
        <w:t xml:space="preserve">When the costs </w:t>
      </w:r>
      <w:r w:rsidR="00A46530">
        <w:t xml:space="preserve">and income </w:t>
      </w:r>
      <w:r>
        <w:t xml:space="preserve">are apportioned into fee earning and non-fee earning accounts </w:t>
      </w:r>
      <w:proofErr w:type="gramStart"/>
      <w:r>
        <w:t>on the basis of</w:t>
      </w:r>
      <w:proofErr w:type="gramEnd"/>
      <w:r>
        <w:t xml:space="preserve"> the estimated 75:25 </w:t>
      </w:r>
      <w:r w:rsidR="00A46530">
        <w:t>split, it can be seen that the commercial fee earning part of the service remains viable.</w:t>
      </w:r>
      <w:r w:rsidR="00674DDA">
        <w:t xml:space="preserve"> This part of the service is also making a significant contribution</w:t>
      </w:r>
      <w:r w:rsidR="00674DDA" w:rsidRPr="00674DDA">
        <w:t xml:space="preserve"> to central support </w:t>
      </w:r>
      <w:proofErr w:type="gramStart"/>
      <w:r w:rsidR="00674DDA" w:rsidRPr="00674DDA">
        <w:t>costs which</w:t>
      </w:r>
      <w:proofErr w:type="gramEnd"/>
      <w:r w:rsidR="00674DDA" w:rsidRPr="00674DDA">
        <w:t xml:space="preserve"> are 30% of the current total cost.</w:t>
      </w:r>
    </w:p>
    <w:p w:rsidR="00E92CBA" w:rsidRDefault="00E92CBA" w:rsidP="0006327E">
      <w:pPr>
        <w:pStyle w:val="ListParagraph"/>
      </w:pPr>
    </w:p>
    <w:p w:rsidR="00E92CBA" w:rsidRDefault="00E92CBA" w:rsidP="00E92CBA">
      <w:pPr>
        <w:pStyle w:val="ListParagraph"/>
        <w:ind w:left="0"/>
      </w:pPr>
      <w:r>
        <w:rPr>
          <w:noProof/>
          <w:lang w:eastAsia="en-GB"/>
        </w:rPr>
        <w:drawing>
          <wp:inline distT="0" distB="0" distL="0" distR="0" wp14:anchorId="2B34A77B" wp14:editId="1E09D135">
            <wp:extent cx="5731510" cy="3043334"/>
            <wp:effectExtent l="0" t="0" r="21590"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327E" w:rsidRDefault="0006327E" w:rsidP="00A46530">
      <w:pPr>
        <w:ind w:left="709"/>
      </w:pPr>
    </w:p>
    <w:p w:rsidR="00A46530" w:rsidRDefault="00A46530" w:rsidP="005D6667">
      <w:pPr>
        <w:pStyle w:val="ListParagraph"/>
        <w:numPr>
          <w:ilvl w:val="0"/>
          <w:numId w:val="1"/>
        </w:numPr>
        <w:ind w:left="426"/>
      </w:pPr>
      <w:r>
        <w:t xml:space="preserve">The costs of the statutory </w:t>
      </w:r>
      <w:proofErr w:type="gramStart"/>
      <w:r>
        <w:t>non fee</w:t>
      </w:r>
      <w:proofErr w:type="gramEnd"/>
      <w:r>
        <w:t xml:space="preserve"> earning part of the service are shown below. Where a variation has occurred, it has largely been attributable to support charges for the service. </w:t>
      </w:r>
    </w:p>
    <w:p w:rsidR="00A46530" w:rsidRDefault="00A46530" w:rsidP="00A46530">
      <w:pPr>
        <w:ind w:left="709"/>
      </w:pPr>
    </w:p>
    <w:p w:rsidR="00E92CBA" w:rsidRDefault="00E92CBA" w:rsidP="00E92CBA">
      <w:r>
        <w:rPr>
          <w:noProof/>
          <w:lang w:eastAsia="en-GB"/>
        </w:rPr>
        <w:drawing>
          <wp:inline distT="0" distB="0" distL="0" distR="0" wp14:anchorId="71E31C59" wp14:editId="30C36EFB">
            <wp:extent cx="573405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6530" w:rsidRDefault="00A46530" w:rsidP="00A46530">
      <w:pPr>
        <w:ind w:left="709"/>
      </w:pPr>
    </w:p>
    <w:p w:rsidR="001F3EE2" w:rsidRPr="00132704" w:rsidRDefault="001F3EE2" w:rsidP="001F3EE2">
      <w:pPr>
        <w:rPr>
          <w:b/>
        </w:rPr>
      </w:pPr>
      <w:r w:rsidRPr="00132704">
        <w:rPr>
          <w:b/>
        </w:rPr>
        <w:t xml:space="preserve">Competition </w:t>
      </w:r>
    </w:p>
    <w:p w:rsidR="001F3EE2" w:rsidRDefault="001F3EE2" w:rsidP="001F3EE2">
      <w:pPr>
        <w:pStyle w:val="ListParagraph"/>
      </w:pPr>
    </w:p>
    <w:p w:rsidR="006C4EF4" w:rsidRDefault="006C7D09" w:rsidP="005D6667">
      <w:pPr>
        <w:pStyle w:val="ListParagraph"/>
        <w:numPr>
          <w:ilvl w:val="0"/>
          <w:numId w:val="1"/>
        </w:numPr>
        <w:ind w:left="360"/>
      </w:pPr>
      <w:r>
        <w:t xml:space="preserve">There are </w:t>
      </w:r>
      <w:r w:rsidR="00305EB9">
        <w:t xml:space="preserve">183 </w:t>
      </w:r>
      <w:r w:rsidR="006C4EF4">
        <w:t>A</w:t>
      </w:r>
      <w:r>
        <w:t>I</w:t>
      </w:r>
      <w:r w:rsidR="006C4EF4">
        <w:t xml:space="preserve">s </w:t>
      </w:r>
      <w:r w:rsidR="00156F9B">
        <w:t xml:space="preserve">listed on the </w:t>
      </w:r>
      <w:r w:rsidR="00156F9B" w:rsidRPr="00156F9B">
        <w:t>Construction Industry Council</w:t>
      </w:r>
      <w:r w:rsidR="00156F9B">
        <w:t xml:space="preserve">’s register and they vary from large organisations that operate nationally through to individual inspectors. </w:t>
      </w:r>
    </w:p>
    <w:p w:rsidR="006C4EF4" w:rsidRDefault="006C4EF4" w:rsidP="005D6667"/>
    <w:p w:rsidR="006C4EF4" w:rsidRDefault="00F04C87" w:rsidP="005D6667">
      <w:pPr>
        <w:pStyle w:val="ListParagraph"/>
        <w:numPr>
          <w:ilvl w:val="0"/>
          <w:numId w:val="1"/>
        </w:numPr>
        <w:ind w:left="360"/>
      </w:pPr>
      <w:r>
        <w:t xml:space="preserve">Analysis of Initial Notices </w:t>
      </w:r>
      <w:r w:rsidR="006C7881">
        <w:t>for 2016</w:t>
      </w:r>
      <w:r w:rsidR="006B74FE">
        <w:t>/17</w:t>
      </w:r>
      <w:r w:rsidR="006C7881">
        <w:t xml:space="preserve"> </w:t>
      </w:r>
      <w:r>
        <w:t xml:space="preserve">indicates that </w:t>
      </w:r>
      <w:r w:rsidR="00DE19F3">
        <w:t xml:space="preserve">a total of </w:t>
      </w:r>
      <w:r w:rsidR="006C7881">
        <w:t>43 AIs operate i</w:t>
      </w:r>
      <w:r w:rsidR="00156F9B">
        <w:t>n Oxford</w:t>
      </w:r>
      <w:r w:rsidR="00361407">
        <w:t>,</w:t>
      </w:r>
      <w:r w:rsidR="00245B2D">
        <w:t xml:space="preserve"> </w:t>
      </w:r>
      <w:r w:rsidR="00DE19F3">
        <w:t xml:space="preserve">although </w:t>
      </w:r>
      <w:r w:rsidR="00245B2D">
        <w:t xml:space="preserve">the top </w:t>
      </w:r>
      <w:r w:rsidR="00361407">
        <w:t xml:space="preserve">10 companies account for 81% of the work. Further analysis indicates that the 4 most successful </w:t>
      </w:r>
      <w:r w:rsidR="00DE19F3">
        <w:t xml:space="preserve">organisations </w:t>
      </w:r>
      <w:r w:rsidR="005B122C">
        <w:t xml:space="preserve">operating in Oxford </w:t>
      </w:r>
      <w:r w:rsidR="00361407">
        <w:t xml:space="preserve">have 62% of the </w:t>
      </w:r>
      <w:r w:rsidR="00DE19F3">
        <w:t>AIs market</w:t>
      </w:r>
      <w:r w:rsidR="00361407">
        <w:t xml:space="preserve">. </w:t>
      </w:r>
    </w:p>
    <w:p w:rsidR="00F577C8" w:rsidRDefault="00F577C8" w:rsidP="005D6667"/>
    <w:p w:rsidR="000E5C13" w:rsidRDefault="000E5C13" w:rsidP="005D6667">
      <w:pPr>
        <w:pStyle w:val="ListParagraph"/>
        <w:numPr>
          <w:ilvl w:val="0"/>
          <w:numId w:val="1"/>
        </w:numPr>
        <w:ind w:left="360"/>
      </w:pPr>
      <w:r>
        <w:t xml:space="preserve">The Building Control </w:t>
      </w:r>
      <w:r w:rsidR="00E25D4C">
        <w:t xml:space="preserve">Service will always be at </w:t>
      </w:r>
      <w:r>
        <w:t>a commercial disadvantage</w:t>
      </w:r>
      <w:r w:rsidR="00E25D4C">
        <w:t xml:space="preserve"> </w:t>
      </w:r>
      <w:r w:rsidR="00AE06C0">
        <w:t xml:space="preserve">compared </w:t>
      </w:r>
      <w:r w:rsidR="00E25D4C">
        <w:t>with AIs.</w:t>
      </w:r>
      <w:r>
        <w:t xml:space="preserve"> </w:t>
      </w:r>
      <w:r w:rsidR="006F6DD7">
        <w:t>Regulation 12 of t</w:t>
      </w:r>
      <w:r w:rsidR="005B64ED">
        <w:t xml:space="preserve">he Building (Local Authority Charges) Regulations 2010 (Charging Regulations) and associated Chartered Institute of Public Finance and Accountancy guidance require Local Authority Building Control to publish its </w:t>
      </w:r>
      <w:proofErr w:type="gramStart"/>
      <w:r w:rsidR="005B64ED">
        <w:t>fee charging</w:t>
      </w:r>
      <w:proofErr w:type="gramEnd"/>
      <w:r w:rsidR="005B64ED">
        <w:t xml:space="preserve"> scheme, which in reality gives the private sector a baseline against which to set their own charges and compete on a preferential basis. There is no reciprocal requirement for AIs to publish their charging schemes, but anecdotal evidence suggests some AIs use the local authority charging scheme as a base line, then deduct a percentage – typically 10% - to arrive at their own charges. </w:t>
      </w:r>
    </w:p>
    <w:p w:rsidR="005B122C" w:rsidRDefault="005B122C" w:rsidP="005D6667">
      <w:pPr>
        <w:pStyle w:val="ListParagraph"/>
        <w:ind w:left="360"/>
      </w:pPr>
    </w:p>
    <w:p w:rsidR="000E5C13" w:rsidRDefault="005B64ED" w:rsidP="005D6667">
      <w:pPr>
        <w:pStyle w:val="ListParagraph"/>
        <w:numPr>
          <w:ilvl w:val="0"/>
          <w:numId w:val="1"/>
        </w:numPr>
        <w:ind w:left="360"/>
      </w:pPr>
      <w:r>
        <w:t xml:space="preserve">The </w:t>
      </w:r>
      <w:r w:rsidRPr="005B64ED">
        <w:t>Chartered Institute of Public Finance and Accountancy guidance require</w:t>
      </w:r>
      <w:r>
        <w:t xml:space="preserve">s local authorities to use a three year budget profile for Building Control Services and the service must be run on a cost recovery basis as it is not permissible to generate a surplus. </w:t>
      </w:r>
      <w:r w:rsidR="005B122C">
        <w:t xml:space="preserve">The Government’s aim is to ensure there will always be a building control service </w:t>
      </w:r>
      <w:r>
        <w:t xml:space="preserve">available </w:t>
      </w:r>
      <w:r w:rsidR="005B122C">
        <w:t xml:space="preserve">to the public at cost. </w:t>
      </w:r>
    </w:p>
    <w:p w:rsidR="005B64ED" w:rsidRDefault="005B64ED" w:rsidP="005B64ED"/>
    <w:p w:rsidR="000E5C13" w:rsidRDefault="00E25D4C" w:rsidP="005D6667">
      <w:pPr>
        <w:pStyle w:val="ListParagraph"/>
        <w:numPr>
          <w:ilvl w:val="0"/>
          <w:numId w:val="1"/>
        </w:numPr>
        <w:ind w:left="426"/>
      </w:pPr>
      <w:r>
        <w:t xml:space="preserve">The service routinely quotes for work in a competitive environment and analyses the results. </w:t>
      </w:r>
      <w:r w:rsidR="00467865" w:rsidRPr="008A1B3B">
        <w:t>I</w:t>
      </w:r>
      <w:r w:rsidRPr="008A1B3B">
        <w:t xml:space="preserve">n 2016/17 </w:t>
      </w:r>
      <w:proofErr w:type="gramStart"/>
      <w:r w:rsidRPr="008A1B3B">
        <w:t>a total of 1</w:t>
      </w:r>
      <w:r w:rsidR="007D56B8" w:rsidRPr="008A1B3B">
        <w:t>58</w:t>
      </w:r>
      <w:proofErr w:type="gramEnd"/>
      <w:r w:rsidRPr="008A1B3B">
        <w:t xml:space="preserve"> quotes for work </w:t>
      </w:r>
      <w:r w:rsidR="000320B6" w:rsidRPr="008A1B3B">
        <w:t xml:space="preserve">were </w:t>
      </w:r>
      <w:r w:rsidRPr="008A1B3B">
        <w:t xml:space="preserve">made </w:t>
      </w:r>
      <w:r w:rsidR="00DE19F3" w:rsidRPr="008A1B3B">
        <w:t xml:space="preserve">and where the work has gone ahead there has been </w:t>
      </w:r>
      <w:r w:rsidR="005B1957" w:rsidRPr="008A1B3B">
        <w:t>a 75% success rate. W</w:t>
      </w:r>
      <w:r w:rsidR="005B1957">
        <w:t xml:space="preserve">here we have been </w:t>
      </w:r>
      <w:proofErr w:type="gramStart"/>
      <w:r w:rsidR="005B1957">
        <w:t>unsuccessful</w:t>
      </w:r>
      <w:proofErr w:type="gramEnd"/>
      <w:r w:rsidR="005B1957">
        <w:t xml:space="preserve"> the primary reason given has</w:t>
      </w:r>
      <w:r w:rsidR="00DE19F3">
        <w:t xml:space="preserve"> </w:t>
      </w:r>
      <w:r w:rsidR="005B122C">
        <w:t xml:space="preserve">not </w:t>
      </w:r>
      <w:r w:rsidR="00DE19F3">
        <w:t>unsurprisingly</w:t>
      </w:r>
      <w:r w:rsidR="005B1957">
        <w:t xml:space="preserve"> been </w:t>
      </w:r>
      <w:r w:rsidR="00DE19F3">
        <w:t xml:space="preserve">the </w:t>
      </w:r>
      <w:r w:rsidR="005B1957">
        <w:t>price</w:t>
      </w:r>
      <w:r w:rsidR="00DE19F3">
        <w:t>,</w:t>
      </w:r>
      <w:r w:rsidR="005B1957">
        <w:t xml:space="preserve"> although some architects also have a business relationship with AIs</w:t>
      </w:r>
      <w:r w:rsidR="00DE19F3">
        <w:t xml:space="preserve"> and prefer to use them even if they are located elsewhere</w:t>
      </w:r>
      <w:r w:rsidR="000B1F65">
        <w:t xml:space="preserve">. </w:t>
      </w:r>
    </w:p>
    <w:p w:rsidR="00B60BA3" w:rsidRDefault="00B60BA3" w:rsidP="004D4AA3">
      <w:pPr>
        <w:rPr>
          <w:b/>
        </w:rPr>
      </w:pPr>
    </w:p>
    <w:p w:rsidR="004D4AA3" w:rsidRPr="00132704" w:rsidRDefault="00361407" w:rsidP="004D4AA3">
      <w:pPr>
        <w:rPr>
          <w:b/>
        </w:rPr>
      </w:pPr>
      <w:r w:rsidRPr="00132704">
        <w:rPr>
          <w:b/>
        </w:rPr>
        <w:t>M</w:t>
      </w:r>
      <w:r w:rsidR="004D4AA3" w:rsidRPr="00132704">
        <w:rPr>
          <w:b/>
        </w:rPr>
        <w:t>arketing</w:t>
      </w:r>
      <w:r w:rsidR="000B1F65" w:rsidRPr="00132704">
        <w:rPr>
          <w:b/>
        </w:rPr>
        <w:t xml:space="preserve"> and Customer Service</w:t>
      </w:r>
      <w:r w:rsidR="004D4AA3" w:rsidRPr="00132704">
        <w:rPr>
          <w:b/>
        </w:rPr>
        <w:t xml:space="preserve"> </w:t>
      </w:r>
    </w:p>
    <w:p w:rsidR="00DE19F3" w:rsidRDefault="00DE19F3" w:rsidP="004D4AA3"/>
    <w:p w:rsidR="00DE19F3" w:rsidRDefault="00DE19F3" w:rsidP="005D6667">
      <w:pPr>
        <w:pStyle w:val="ListParagraph"/>
        <w:numPr>
          <w:ilvl w:val="0"/>
          <w:numId w:val="1"/>
        </w:numPr>
        <w:ind w:left="360"/>
      </w:pPr>
      <w:r>
        <w:t>The</w:t>
      </w:r>
      <w:r w:rsidR="005B64ED">
        <w:t xml:space="preserve"> development</w:t>
      </w:r>
      <w:r>
        <w:t xml:space="preserve"> </w:t>
      </w:r>
      <w:r w:rsidR="005B64ED">
        <w:t xml:space="preserve">industry sees advantages in a one stop shop approach to construction and there is a close alignment of the </w:t>
      </w:r>
      <w:r>
        <w:t xml:space="preserve">Building Control Service </w:t>
      </w:r>
      <w:r w:rsidR="005B64ED">
        <w:t xml:space="preserve">with </w:t>
      </w:r>
      <w:r w:rsidR="003632F1">
        <w:t>the Planning Service</w:t>
      </w:r>
      <w:r w:rsidR="00D950D8">
        <w:t xml:space="preserve">. The reputation of Local Authority Building Control is strong on quality, transparency, accountability and for providing independent, impartial and professional advice. </w:t>
      </w:r>
    </w:p>
    <w:p w:rsidR="004D4AA3" w:rsidRDefault="004D4AA3" w:rsidP="005D6667"/>
    <w:p w:rsidR="003A1AD7" w:rsidRDefault="003A1AD7" w:rsidP="005D6667">
      <w:pPr>
        <w:pStyle w:val="ListParagraph"/>
        <w:numPr>
          <w:ilvl w:val="0"/>
          <w:numId w:val="1"/>
        </w:numPr>
        <w:ind w:left="360"/>
      </w:pPr>
      <w:r>
        <w:t>Feedback from our clients indicates the priorities in the service they receive as:</w:t>
      </w:r>
    </w:p>
    <w:p w:rsidR="003A1AD7" w:rsidRDefault="003A1AD7" w:rsidP="005D6667">
      <w:pPr>
        <w:ind w:left="360"/>
      </w:pPr>
      <w:r>
        <w:t>• speed of response</w:t>
      </w:r>
    </w:p>
    <w:p w:rsidR="003A1AD7" w:rsidRDefault="003A1AD7" w:rsidP="005D6667">
      <w:pPr>
        <w:ind w:left="360"/>
      </w:pPr>
      <w:r>
        <w:t>• consistency of approach</w:t>
      </w:r>
    </w:p>
    <w:p w:rsidR="003A1AD7" w:rsidRDefault="003A1AD7" w:rsidP="005D6667">
      <w:pPr>
        <w:ind w:left="360"/>
      </w:pPr>
      <w:r>
        <w:t>• availability of advice</w:t>
      </w:r>
    </w:p>
    <w:p w:rsidR="003A1AD7" w:rsidRDefault="003A1AD7" w:rsidP="005D6667">
      <w:pPr>
        <w:ind w:left="360"/>
      </w:pPr>
      <w:r>
        <w:t>• competitive cost</w:t>
      </w:r>
    </w:p>
    <w:p w:rsidR="00245B2D" w:rsidRDefault="00245B2D" w:rsidP="005D6667"/>
    <w:p w:rsidR="000E5C13" w:rsidRDefault="00245B2D" w:rsidP="005D6667">
      <w:pPr>
        <w:pStyle w:val="ListParagraph"/>
        <w:numPr>
          <w:ilvl w:val="0"/>
          <w:numId w:val="1"/>
        </w:numPr>
        <w:ind w:left="360"/>
      </w:pPr>
      <w:r>
        <w:t xml:space="preserve">One of the unique services we provide </w:t>
      </w:r>
      <w:r w:rsidR="00467865">
        <w:t xml:space="preserve">compared to our competitors </w:t>
      </w:r>
      <w:r>
        <w:t xml:space="preserve">is a same day service for an inspection and we offer to visit on the day when an appointment is made before 9.30am. </w:t>
      </w:r>
      <w:r w:rsidR="0042118B">
        <w:t xml:space="preserve">This service is </w:t>
      </w:r>
      <w:r w:rsidR="00621DB4">
        <w:t xml:space="preserve">promoted on the website and is widely used </w:t>
      </w:r>
      <w:r w:rsidR="005B122C">
        <w:t xml:space="preserve">and appreciated </w:t>
      </w:r>
      <w:r w:rsidR="00621DB4">
        <w:t>by local builders.</w:t>
      </w:r>
    </w:p>
    <w:p w:rsidR="00621DB4" w:rsidRDefault="00621DB4" w:rsidP="00621DB4">
      <w:pPr>
        <w:pStyle w:val="ListParagraph"/>
      </w:pPr>
    </w:p>
    <w:p w:rsidR="000E5C13" w:rsidRPr="00132704" w:rsidRDefault="00245B2D" w:rsidP="003A1AD7">
      <w:pPr>
        <w:rPr>
          <w:b/>
        </w:rPr>
      </w:pPr>
      <w:r w:rsidRPr="00132704">
        <w:rPr>
          <w:b/>
        </w:rPr>
        <w:t>Future plans for the service</w:t>
      </w:r>
    </w:p>
    <w:p w:rsidR="00361407" w:rsidRDefault="00361407" w:rsidP="003A1AD7"/>
    <w:p w:rsidR="00DB2357" w:rsidRDefault="00D950D8" w:rsidP="005D6667">
      <w:pPr>
        <w:pStyle w:val="ListParagraph"/>
        <w:numPr>
          <w:ilvl w:val="0"/>
          <w:numId w:val="1"/>
        </w:numPr>
        <w:ind w:left="360"/>
      </w:pPr>
      <w:r>
        <w:t>The</w:t>
      </w:r>
      <w:r w:rsidR="00B60BA3">
        <w:t xml:space="preserve"> </w:t>
      </w:r>
      <w:r w:rsidR="00AE06C0">
        <w:t>C</w:t>
      </w:r>
      <w:r w:rsidR="00B60BA3">
        <w:t xml:space="preserve">ouncil has a statutory obligation to provide </w:t>
      </w:r>
      <w:r>
        <w:t xml:space="preserve">a Building Control Service </w:t>
      </w:r>
      <w:r w:rsidR="00DB2357">
        <w:t>as t</w:t>
      </w:r>
      <w:r>
        <w:t xml:space="preserve">here are requirements for the Council to provide </w:t>
      </w:r>
      <w:r w:rsidR="00DB2357">
        <w:t xml:space="preserve">a statutory service for people who wish to use the Council for Building Control Services and also to carry out those functions that can only be carried out by the Council such as regularisations, dangerous structures etc. </w:t>
      </w:r>
    </w:p>
    <w:p w:rsidR="00DB2357" w:rsidRDefault="00DB2357" w:rsidP="005D6667">
      <w:pPr>
        <w:pStyle w:val="ListParagraph"/>
        <w:ind w:left="360"/>
      </w:pPr>
    </w:p>
    <w:p w:rsidR="00DB2357" w:rsidRDefault="00DB2357" w:rsidP="005D6667">
      <w:pPr>
        <w:pStyle w:val="ListParagraph"/>
        <w:numPr>
          <w:ilvl w:val="0"/>
          <w:numId w:val="1"/>
        </w:numPr>
        <w:ind w:left="360"/>
      </w:pPr>
      <w:r>
        <w:t xml:space="preserve">The service contributes to the key corporate objectives of a Vibrant and Sustainable Economy, playing a fundamental part in facilitating all types of developments including large scale projects such as the Westgate and ensuring that they get built safely and on time. </w:t>
      </w:r>
      <w:r w:rsidR="004F23CA">
        <w:t xml:space="preserve">The value of the development work the service is currently regulating is estimated to be in the region of £300m. </w:t>
      </w:r>
      <w:r>
        <w:t xml:space="preserve">The service contributes to Meeting Housing Need by </w:t>
      </w:r>
      <w:r w:rsidR="005415C7">
        <w:t xml:space="preserve">providing services to other Council departments such as Housing and Property and </w:t>
      </w:r>
      <w:r>
        <w:t xml:space="preserve">joined up working with </w:t>
      </w:r>
      <w:r w:rsidR="005415C7">
        <w:t xml:space="preserve">services such as Environmental Health. The service also contributes to a Clean and Green Oxford by ensuring that developments comply with the energy efficiency requirements of the building regulations. </w:t>
      </w:r>
    </w:p>
    <w:p w:rsidR="00DB2357" w:rsidRDefault="00DB2357" w:rsidP="005D6667">
      <w:pPr>
        <w:pStyle w:val="ListParagraph"/>
        <w:ind w:left="360"/>
      </w:pPr>
    </w:p>
    <w:p w:rsidR="003A1AD7" w:rsidRDefault="00467865" w:rsidP="005D6667">
      <w:pPr>
        <w:pStyle w:val="ListParagraph"/>
        <w:numPr>
          <w:ilvl w:val="0"/>
          <w:numId w:val="1"/>
        </w:numPr>
        <w:ind w:left="360"/>
      </w:pPr>
      <w:r>
        <w:t>Businesses prefer regulators to demonstrate a consistency of approach and this is best achieved by having permanent staff who can also develop working relationships</w:t>
      </w:r>
      <w:r w:rsidR="00E75AD9">
        <w:t>,</w:t>
      </w:r>
      <w:r>
        <w:t xml:space="preserve"> for example certain clients are always assigned to the same officer. However, t</w:t>
      </w:r>
      <w:r w:rsidR="003A1AD7">
        <w:t>here have been major recruitment and retention difficulties in the service which have resulted in capacity, continuity and income generation pressures.</w:t>
      </w:r>
      <w:r w:rsidR="00B9666C">
        <w:t xml:space="preserve"> </w:t>
      </w:r>
      <w:r w:rsidR="005415C7">
        <w:t xml:space="preserve">This </w:t>
      </w:r>
      <w:proofErr w:type="gramStart"/>
      <w:r w:rsidR="005415C7">
        <w:t>has been countered</w:t>
      </w:r>
      <w:proofErr w:type="gramEnd"/>
      <w:r w:rsidR="005415C7">
        <w:t xml:space="preserve"> by introducing a</w:t>
      </w:r>
      <w:r w:rsidR="00B9666C">
        <w:t xml:space="preserve"> career grade linking the Building Control Surveyor post to the Senior Building Control Surveyor role</w:t>
      </w:r>
      <w:r w:rsidR="005415C7">
        <w:t xml:space="preserve"> to retain staff and make the role more attract</w:t>
      </w:r>
      <w:r w:rsidR="00AE06C0">
        <w:t>ive</w:t>
      </w:r>
      <w:r w:rsidR="005415C7">
        <w:t xml:space="preserve"> in the market place.</w:t>
      </w:r>
      <w:r w:rsidR="00B9666C">
        <w:t xml:space="preserve"> </w:t>
      </w:r>
      <w:r w:rsidR="007D78D4">
        <w:t>The aim for the service is to build up the commercial capacity by having more Senior Building Control Surveyors to market services and price for and win work as well as being able to attract and retain sufficient permanent staff.</w:t>
      </w:r>
    </w:p>
    <w:p w:rsidR="00DE19F3" w:rsidRDefault="00DE19F3" w:rsidP="003A1AD7"/>
    <w:p w:rsidR="00DE19F3" w:rsidRDefault="00DE19F3" w:rsidP="005D6667">
      <w:pPr>
        <w:pStyle w:val="ListParagraph"/>
        <w:numPr>
          <w:ilvl w:val="0"/>
          <w:numId w:val="1"/>
        </w:numPr>
        <w:ind w:left="360"/>
      </w:pPr>
      <w:r>
        <w:t xml:space="preserve">Part of developing our marketing strategy will be the development of account management so as to ensure a continued improved service to our partners which will enable their retention in the busy market place. Processes need to be refined to simplify procedures and remove bureaucracy allowing for a more straightforward consistent approach in dealing with applications. The additional availability of online and paper-based publications and advice will clarify complex building regulation </w:t>
      </w:r>
      <w:proofErr w:type="gramStart"/>
      <w:r>
        <w:t>matters which</w:t>
      </w:r>
      <w:proofErr w:type="gramEnd"/>
      <w:r>
        <w:t xml:space="preserve"> will reduce the need for building control surveyors to provide advice.</w:t>
      </w:r>
    </w:p>
    <w:p w:rsidR="00AE06C0" w:rsidRDefault="00AE06C0" w:rsidP="005D6667">
      <w:pPr>
        <w:pStyle w:val="ListParagraph"/>
        <w:ind w:left="360"/>
      </w:pPr>
    </w:p>
    <w:p w:rsidR="00AE06C0" w:rsidRDefault="00AE06C0" w:rsidP="005D6667">
      <w:pPr>
        <w:pStyle w:val="ListParagraph"/>
        <w:numPr>
          <w:ilvl w:val="0"/>
          <w:numId w:val="1"/>
        </w:numPr>
        <w:ind w:left="360"/>
      </w:pPr>
      <w:r>
        <w:t xml:space="preserve">It is also important to protect the Council’s commercial activity and </w:t>
      </w:r>
      <w:r w:rsidR="003E553B">
        <w:t xml:space="preserve">lessons </w:t>
      </w:r>
      <w:proofErr w:type="gramStart"/>
      <w:r w:rsidR="003E553B">
        <w:t>have been learned</w:t>
      </w:r>
      <w:proofErr w:type="gramEnd"/>
      <w:r w:rsidR="003E553B">
        <w:t xml:space="preserve"> regarding members of staff who give notice that they are leaving the Council to join an AI. In </w:t>
      </w:r>
      <w:proofErr w:type="gramStart"/>
      <w:r w:rsidR="003E553B">
        <w:t>future</w:t>
      </w:r>
      <w:proofErr w:type="gramEnd"/>
      <w:r w:rsidR="003E553B">
        <w:t xml:space="preserve"> they will not be provided with an opportunity to use their remaining time to carry out activities that can result in business being lost by the Council.</w:t>
      </w:r>
    </w:p>
    <w:p w:rsidR="00AE2036" w:rsidRDefault="00AE2036" w:rsidP="005D6667">
      <w:pPr>
        <w:pStyle w:val="ListParagraph"/>
        <w:ind w:left="360"/>
      </w:pPr>
    </w:p>
    <w:p w:rsidR="00AE2036" w:rsidRDefault="001F217B" w:rsidP="005D6667">
      <w:pPr>
        <w:pStyle w:val="ListParagraph"/>
        <w:numPr>
          <w:ilvl w:val="0"/>
          <w:numId w:val="1"/>
        </w:numPr>
        <w:ind w:left="360"/>
      </w:pPr>
      <w:r>
        <w:t xml:space="preserve">The Service Improvement Plan for 2017/18 is set out in </w:t>
      </w:r>
      <w:r w:rsidR="006F6DD7">
        <w:t xml:space="preserve">priority order in </w:t>
      </w:r>
      <w:r>
        <w:t xml:space="preserve">the table below: </w:t>
      </w:r>
    </w:p>
    <w:p w:rsidR="003A1AD7" w:rsidRDefault="003A1AD7" w:rsidP="003A1AD7"/>
    <w:tbl>
      <w:tblPr>
        <w:tblStyle w:val="TableGrid"/>
        <w:tblW w:w="0" w:type="auto"/>
        <w:tblInd w:w="250" w:type="dxa"/>
        <w:tblLayout w:type="fixed"/>
        <w:tblLook w:val="04A0" w:firstRow="1" w:lastRow="0" w:firstColumn="1" w:lastColumn="0" w:noHBand="0" w:noVBand="1"/>
      </w:tblPr>
      <w:tblGrid>
        <w:gridCol w:w="541"/>
        <w:gridCol w:w="3428"/>
        <w:gridCol w:w="4961"/>
      </w:tblGrid>
      <w:tr w:rsidR="00AE2036" w:rsidRPr="00E36ADD" w:rsidTr="00D30617">
        <w:tc>
          <w:tcPr>
            <w:tcW w:w="541" w:type="dxa"/>
          </w:tcPr>
          <w:p w:rsidR="00AE2036" w:rsidRDefault="00AE2036" w:rsidP="003303B2">
            <w:pPr>
              <w:tabs>
                <w:tab w:val="left" w:pos="1800"/>
              </w:tabs>
              <w:ind w:right="45"/>
              <w:jc w:val="both"/>
              <w:rPr>
                <w:rFonts w:eastAsia="Arial"/>
              </w:rPr>
            </w:pPr>
          </w:p>
        </w:tc>
        <w:tc>
          <w:tcPr>
            <w:tcW w:w="3428" w:type="dxa"/>
          </w:tcPr>
          <w:p w:rsidR="00AE2036" w:rsidRPr="00E60AD3" w:rsidRDefault="00AE2036" w:rsidP="003303B2">
            <w:pPr>
              <w:spacing w:line="318" w:lineRule="exact"/>
              <w:ind w:left="102" w:right="-20"/>
              <w:rPr>
                <w:rFonts w:eastAsia="Arial"/>
                <w:b/>
              </w:rPr>
            </w:pPr>
            <w:r w:rsidRPr="00E60AD3">
              <w:rPr>
                <w:rFonts w:eastAsia="Arial"/>
                <w:b/>
                <w:bCs/>
              </w:rPr>
              <w:t>Se</w:t>
            </w:r>
            <w:r w:rsidRPr="00E60AD3">
              <w:rPr>
                <w:rFonts w:eastAsia="Arial"/>
                <w:b/>
                <w:bCs/>
                <w:spacing w:val="1"/>
              </w:rPr>
              <w:t>r</w:t>
            </w:r>
            <w:r w:rsidRPr="00E60AD3">
              <w:rPr>
                <w:rFonts w:eastAsia="Arial"/>
                <w:b/>
                <w:bCs/>
                <w:spacing w:val="-3"/>
              </w:rPr>
              <w:t>v</w:t>
            </w:r>
            <w:r w:rsidRPr="00E60AD3">
              <w:rPr>
                <w:rFonts w:eastAsia="Arial"/>
                <w:b/>
                <w:bCs/>
                <w:spacing w:val="1"/>
              </w:rPr>
              <w:t>i</w:t>
            </w:r>
            <w:r w:rsidRPr="00E60AD3">
              <w:rPr>
                <w:rFonts w:eastAsia="Arial"/>
                <w:b/>
                <w:bCs/>
              </w:rPr>
              <w:t>ce</w:t>
            </w:r>
            <w:r w:rsidRPr="00E60AD3">
              <w:rPr>
                <w:rFonts w:eastAsia="Arial"/>
                <w:b/>
                <w:bCs/>
                <w:spacing w:val="-1"/>
              </w:rPr>
              <w:t xml:space="preserve"> </w:t>
            </w:r>
            <w:r w:rsidRPr="00E60AD3">
              <w:rPr>
                <w:rFonts w:eastAsia="Arial"/>
                <w:b/>
                <w:bCs/>
                <w:spacing w:val="1"/>
              </w:rPr>
              <w:t>I</w:t>
            </w:r>
            <w:r w:rsidRPr="00E60AD3">
              <w:rPr>
                <w:rFonts w:eastAsia="Arial"/>
                <w:b/>
                <w:bCs/>
              </w:rPr>
              <w:t>m</w:t>
            </w:r>
            <w:r w:rsidRPr="00E60AD3">
              <w:rPr>
                <w:rFonts w:eastAsia="Arial"/>
                <w:b/>
                <w:bCs/>
                <w:spacing w:val="-4"/>
              </w:rPr>
              <w:t>p</w:t>
            </w:r>
            <w:r w:rsidRPr="00E60AD3">
              <w:rPr>
                <w:rFonts w:eastAsia="Arial"/>
                <w:b/>
                <w:bCs/>
                <w:spacing w:val="1"/>
              </w:rPr>
              <w:t>r</w:t>
            </w:r>
            <w:r w:rsidRPr="00E60AD3">
              <w:rPr>
                <w:rFonts w:eastAsia="Arial"/>
                <w:b/>
                <w:bCs/>
                <w:spacing w:val="-1"/>
              </w:rPr>
              <w:t>o</w:t>
            </w:r>
            <w:r w:rsidRPr="00E60AD3">
              <w:rPr>
                <w:rFonts w:eastAsia="Arial"/>
                <w:b/>
                <w:bCs/>
                <w:spacing w:val="-3"/>
              </w:rPr>
              <w:t>v</w:t>
            </w:r>
            <w:r w:rsidRPr="00E60AD3">
              <w:rPr>
                <w:rFonts w:eastAsia="Arial"/>
                <w:b/>
                <w:bCs/>
              </w:rPr>
              <w:t>eme</w:t>
            </w:r>
            <w:r w:rsidRPr="00E60AD3">
              <w:rPr>
                <w:rFonts w:eastAsia="Arial"/>
                <w:b/>
                <w:bCs/>
                <w:spacing w:val="-1"/>
              </w:rPr>
              <w:t>n</w:t>
            </w:r>
            <w:r w:rsidRPr="00E60AD3">
              <w:rPr>
                <w:rFonts w:eastAsia="Arial"/>
                <w:b/>
                <w:bCs/>
              </w:rPr>
              <w:t xml:space="preserve">t </w:t>
            </w:r>
            <w:r w:rsidRPr="00E60AD3">
              <w:rPr>
                <w:rFonts w:eastAsia="Arial"/>
                <w:b/>
                <w:bCs/>
                <w:spacing w:val="-6"/>
                <w:position w:val="-1"/>
              </w:rPr>
              <w:t>A</w:t>
            </w:r>
            <w:r w:rsidRPr="00E60AD3">
              <w:rPr>
                <w:rFonts w:eastAsia="Arial"/>
                <w:b/>
                <w:bCs/>
                <w:spacing w:val="2"/>
                <w:position w:val="-1"/>
              </w:rPr>
              <w:t>c</w:t>
            </w:r>
            <w:r w:rsidRPr="00E60AD3">
              <w:rPr>
                <w:rFonts w:eastAsia="Arial"/>
                <w:b/>
                <w:bCs/>
                <w:position w:val="-1"/>
              </w:rPr>
              <w:t>t</w:t>
            </w:r>
            <w:r w:rsidRPr="00E60AD3">
              <w:rPr>
                <w:rFonts w:eastAsia="Arial"/>
                <w:b/>
                <w:bCs/>
                <w:spacing w:val="1"/>
                <w:position w:val="-1"/>
              </w:rPr>
              <w:t>i</w:t>
            </w:r>
            <w:r w:rsidRPr="00E60AD3">
              <w:rPr>
                <w:rFonts w:eastAsia="Arial"/>
                <w:b/>
                <w:bCs/>
                <w:spacing w:val="-1"/>
                <w:position w:val="-1"/>
              </w:rPr>
              <w:t>o</w:t>
            </w:r>
            <w:r w:rsidRPr="00E60AD3">
              <w:rPr>
                <w:rFonts w:eastAsia="Arial"/>
                <w:b/>
                <w:bCs/>
                <w:position w:val="-1"/>
              </w:rPr>
              <w:t>n</w:t>
            </w:r>
          </w:p>
        </w:tc>
        <w:tc>
          <w:tcPr>
            <w:tcW w:w="4961" w:type="dxa"/>
          </w:tcPr>
          <w:p w:rsidR="00AE2036" w:rsidRPr="00E36ADD" w:rsidRDefault="00AE2036" w:rsidP="003303B2">
            <w:pPr>
              <w:spacing w:line="318" w:lineRule="exact"/>
              <w:ind w:right="-20"/>
              <w:rPr>
                <w:rFonts w:eastAsia="Arial"/>
                <w:b/>
              </w:rPr>
            </w:pPr>
            <w:r w:rsidRPr="00E36ADD">
              <w:rPr>
                <w:rFonts w:eastAsia="Arial"/>
                <w:b/>
                <w:bCs/>
                <w:spacing w:val="-6"/>
              </w:rPr>
              <w:t>A</w:t>
            </w:r>
            <w:r w:rsidRPr="00E36ADD">
              <w:rPr>
                <w:rFonts w:eastAsia="Arial"/>
                <w:b/>
                <w:bCs/>
                <w:spacing w:val="2"/>
              </w:rPr>
              <w:t>c</w:t>
            </w:r>
            <w:r w:rsidRPr="00E36ADD">
              <w:rPr>
                <w:rFonts w:eastAsia="Arial"/>
                <w:b/>
                <w:bCs/>
              </w:rPr>
              <w:t>t</w:t>
            </w:r>
            <w:r w:rsidRPr="00E36ADD">
              <w:rPr>
                <w:rFonts w:eastAsia="Arial"/>
                <w:b/>
                <w:bCs/>
                <w:spacing w:val="1"/>
              </w:rPr>
              <w:t>i</w:t>
            </w:r>
            <w:r w:rsidRPr="00E36ADD">
              <w:rPr>
                <w:rFonts w:eastAsia="Arial"/>
                <w:b/>
                <w:bCs/>
                <w:spacing w:val="-1"/>
              </w:rPr>
              <w:t>on</w:t>
            </w:r>
            <w:r w:rsidRPr="00E36ADD">
              <w:rPr>
                <w:rFonts w:eastAsia="Arial"/>
                <w:b/>
                <w:bCs/>
              </w:rPr>
              <w:t>,</w:t>
            </w:r>
            <w:r w:rsidRPr="00E36ADD">
              <w:rPr>
                <w:rFonts w:eastAsia="Arial"/>
                <w:b/>
                <w:bCs/>
                <w:spacing w:val="3"/>
              </w:rPr>
              <w:t xml:space="preserve"> </w:t>
            </w:r>
            <w:r w:rsidRPr="00E36ADD">
              <w:rPr>
                <w:rFonts w:eastAsia="Arial"/>
                <w:b/>
                <w:bCs/>
                <w:spacing w:val="-1"/>
              </w:rPr>
              <w:t>T</w:t>
            </w:r>
            <w:r w:rsidRPr="00E36ADD">
              <w:rPr>
                <w:rFonts w:eastAsia="Arial"/>
                <w:b/>
                <w:bCs/>
              </w:rPr>
              <w:t>a</w:t>
            </w:r>
            <w:r w:rsidRPr="00E36ADD">
              <w:rPr>
                <w:rFonts w:eastAsia="Arial"/>
                <w:b/>
                <w:bCs/>
                <w:spacing w:val="1"/>
              </w:rPr>
              <w:t>r</w:t>
            </w:r>
            <w:r w:rsidRPr="00E36ADD">
              <w:rPr>
                <w:rFonts w:eastAsia="Arial"/>
                <w:b/>
                <w:bCs/>
                <w:spacing w:val="-1"/>
              </w:rPr>
              <w:t>g</w:t>
            </w:r>
            <w:r w:rsidRPr="00E36ADD">
              <w:rPr>
                <w:rFonts w:eastAsia="Arial"/>
                <w:b/>
                <w:bCs/>
              </w:rPr>
              <w:t>ets</w:t>
            </w:r>
            <w:r w:rsidRPr="00E36ADD">
              <w:rPr>
                <w:rFonts w:eastAsia="Arial"/>
                <w:b/>
                <w:bCs/>
                <w:spacing w:val="1"/>
              </w:rPr>
              <w:t xml:space="preserve"> </w:t>
            </w:r>
            <w:r w:rsidRPr="00E36ADD">
              <w:rPr>
                <w:rFonts w:eastAsia="Arial"/>
                <w:b/>
                <w:bCs/>
                <w:spacing w:val="-4"/>
              </w:rPr>
              <w:t>o</w:t>
            </w:r>
            <w:r w:rsidRPr="00E36ADD">
              <w:rPr>
                <w:rFonts w:eastAsia="Arial"/>
                <w:b/>
                <w:bCs/>
              </w:rPr>
              <w:t>r</w:t>
            </w:r>
            <w:r w:rsidRPr="00E36ADD">
              <w:rPr>
                <w:rFonts w:eastAsia="Arial"/>
                <w:b/>
                <w:bCs/>
                <w:spacing w:val="-2"/>
              </w:rPr>
              <w:t xml:space="preserve"> </w:t>
            </w:r>
            <w:r w:rsidRPr="00E36ADD">
              <w:rPr>
                <w:rFonts w:eastAsia="Arial"/>
                <w:b/>
                <w:bCs/>
                <w:spacing w:val="1"/>
              </w:rPr>
              <w:t>M</w:t>
            </w:r>
            <w:r w:rsidRPr="00E36ADD">
              <w:rPr>
                <w:rFonts w:eastAsia="Arial"/>
                <w:b/>
                <w:bCs/>
                <w:spacing w:val="-1"/>
              </w:rPr>
              <w:t>i</w:t>
            </w:r>
            <w:r w:rsidRPr="00E36ADD">
              <w:rPr>
                <w:rFonts w:eastAsia="Arial"/>
                <w:b/>
                <w:bCs/>
                <w:spacing w:val="1"/>
              </w:rPr>
              <w:t>l</w:t>
            </w:r>
            <w:r w:rsidRPr="00E36ADD">
              <w:rPr>
                <w:rFonts w:eastAsia="Arial"/>
                <w:b/>
                <w:bCs/>
              </w:rPr>
              <w:t>est</w:t>
            </w:r>
            <w:r w:rsidRPr="00E36ADD">
              <w:rPr>
                <w:rFonts w:eastAsia="Arial"/>
                <w:b/>
                <w:bCs/>
                <w:spacing w:val="-1"/>
              </w:rPr>
              <w:t>on</w:t>
            </w:r>
            <w:r w:rsidRPr="00E36ADD">
              <w:rPr>
                <w:rFonts w:eastAsia="Arial"/>
                <w:b/>
                <w:bCs/>
              </w:rPr>
              <w:t>es</w:t>
            </w:r>
          </w:p>
        </w:tc>
      </w:tr>
      <w:tr w:rsidR="006F6DD7" w:rsidRPr="00E36ADD" w:rsidTr="00D30617">
        <w:tc>
          <w:tcPr>
            <w:tcW w:w="541" w:type="dxa"/>
          </w:tcPr>
          <w:p w:rsidR="006F6DD7" w:rsidRDefault="006F6DD7" w:rsidP="003303B2">
            <w:pPr>
              <w:tabs>
                <w:tab w:val="left" w:pos="1800"/>
              </w:tabs>
              <w:ind w:right="45"/>
              <w:jc w:val="both"/>
              <w:rPr>
                <w:rFonts w:eastAsia="Arial"/>
              </w:rPr>
            </w:pPr>
            <w:r>
              <w:rPr>
                <w:rFonts w:eastAsia="Arial"/>
              </w:rPr>
              <w:t>1</w:t>
            </w:r>
          </w:p>
        </w:tc>
        <w:tc>
          <w:tcPr>
            <w:tcW w:w="3428" w:type="dxa"/>
          </w:tcPr>
          <w:p w:rsidR="006F6DD7" w:rsidRDefault="006F6DD7" w:rsidP="008771DD">
            <w:pPr>
              <w:tabs>
                <w:tab w:val="left" w:pos="1800"/>
              </w:tabs>
              <w:ind w:right="45"/>
              <w:jc w:val="both"/>
              <w:rPr>
                <w:rFonts w:eastAsia="Arial"/>
              </w:rPr>
            </w:pPr>
            <w:r>
              <w:rPr>
                <w:rFonts w:eastAsia="Arial"/>
              </w:rPr>
              <w:t xml:space="preserve">Recruit staff and develop an account manager approach to business partnerships </w:t>
            </w:r>
          </w:p>
        </w:tc>
        <w:tc>
          <w:tcPr>
            <w:tcW w:w="4961" w:type="dxa"/>
          </w:tcPr>
          <w:p w:rsidR="006F6DD7" w:rsidRDefault="006F6DD7" w:rsidP="008771DD">
            <w:pPr>
              <w:pStyle w:val="ListParagraph"/>
              <w:widowControl w:val="0"/>
              <w:numPr>
                <w:ilvl w:val="0"/>
                <w:numId w:val="2"/>
              </w:numPr>
              <w:tabs>
                <w:tab w:val="left" w:pos="1800"/>
              </w:tabs>
              <w:ind w:right="45"/>
              <w:jc w:val="both"/>
              <w:rPr>
                <w:rFonts w:eastAsia="Arial"/>
              </w:rPr>
            </w:pPr>
            <w:r>
              <w:rPr>
                <w:rFonts w:eastAsia="Arial"/>
              </w:rPr>
              <w:t>Identify solutions to recruitment difficulties</w:t>
            </w:r>
          </w:p>
          <w:p w:rsidR="006F6DD7" w:rsidRPr="00E36ADD" w:rsidRDefault="006F6DD7" w:rsidP="008771DD">
            <w:pPr>
              <w:pStyle w:val="ListParagraph"/>
              <w:widowControl w:val="0"/>
              <w:numPr>
                <w:ilvl w:val="0"/>
                <w:numId w:val="2"/>
              </w:numPr>
              <w:tabs>
                <w:tab w:val="left" w:pos="1800"/>
              </w:tabs>
              <w:ind w:right="45"/>
              <w:jc w:val="both"/>
              <w:rPr>
                <w:rFonts w:eastAsia="Arial"/>
              </w:rPr>
            </w:pPr>
            <w:r w:rsidRPr="00E36ADD">
              <w:rPr>
                <w:rFonts w:eastAsia="Arial"/>
              </w:rPr>
              <w:t>Identify best approach to account management</w:t>
            </w:r>
          </w:p>
          <w:p w:rsidR="006F6DD7" w:rsidRPr="00E36ADD" w:rsidRDefault="006F6DD7" w:rsidP="008771DD">
            <w:pPr>
              <w:pStyle w:val="ListParagraph"/>
              <w:widowControl w:val="0"/>
              <w:numPr>
                <w:ilvl w:val="0"/>
                <w:numId w:val="2"/>
              </w:numPr>
              <w:tabs>
                <w:tab w:val="left" w:pos="1800"/>
              </w:tabs>
              <w:ind w:right="45"/>
              <w:jc w:val="both"/>
              <w:rPr>
                <w:rFonts w:eastAsia="Arial"/>
              </w:rPr>
            </w:pPr>
            <w:r w:rsidRPr="00E36ADD">
              <w:rPr>
                <w:rFonts w:eastAsia="Arial"/>
              </w:rPr>
              <w:t>Agree approach with staff</w:t>
            </w:r>
          </w:p>
          <w:p w:rsidR="006F6DD7" w:rsidRPr="00E36ADD" w:rsidRDefault="006F6DD7" w:rsidP="008771DD">
            <w:pPr>
              <w:pStyle w:val="ListParagraph"/>
              <w:widowControl w:val="0"/>
              <w:numPr>
                <w:ilvl w:val="0"/>
                <w:numId w:val="2"/>
              </w:numPr>
              <w:tabs>
                <w:tab w:val="left" w:pos="1800"/>
              </w:tabs>
              <w:ind w:right="45"/>
              <w:jc w:val="both"/>
              <w:rPr>
                <w:rFonts w:eastAsia="Arial"/>
              </w:rPr>
            </w:pPr>
            <w:r w:rsidRPr="00E36ADD">
              <w:rPr>
                <w:rFonts w:eastAsia="Arial"/>
              </w:rPr>
              <w:t>Deal with any HR issues and implement</w:t>
            </w:r>
          </w:p>
          <w:p w:rsidR="006F6DD7" w:rsidRPr="00E36ADD" w:rsidRDefault="006F6DD7" w:rsidP="008771DD">
            <w:pPr>
              <w:pStyle w:val="ListParagraph"/>
              <w:widowControl w:val="0"/>
              <w:numPr>
                <w:ilvl w:val="0"/>
                <w:numId w:val="2"/>
              </w:numPr>
              <w:tabs>
                <w:tab w:val="left" w:pos="1800"/>
              </w:tabs>
              <w:ind w:right="45"/>
              <w:jc w:val="both"/>
              <w:rPr>
                <w:rFonts w:eastAsia="Arial"/>
              </w:rPr>
            </w:pPr>
            <w:r w:rsidRPr="00E36ADD">
              <w:rPr>
                <w:rFonts w:eastAsia="Arial"/>
              </w:rPr>
              <w:t>Target 3</w:t>
            </w:r>
            <w:r>
              <w:rPr>
                <w:rFonts w:eastAsia="Arial"/>
              </w:rPr>
              <w:t>0/9</w:t>
            </w:r>
            <w:r w:rsidRPr="00E36ADD">
              <w:rPr>
                <w:rFonts w:eastAsia="Arial"/>
              </w:rPr>
              <w:t>/17</w:t>
            </w:r>
          </w:p>
        </w:tc>
      </w:tr>
      <w:tr w:rsidR="006F6DD7" w:rsidRPr="00E36ADD" w:rsidTr="00D30617">
        <w:tc>
          <w:tcPr>
            <w:tcW w:w="541" w:type="dxa"/>
          </w:tcPr>
          <w:p w:rsidR="006F6DD7" w:rsidRDefault="006F6DD7" w:rsidP="003303B2">
            <w:pPr>
              <w:tabs>
                <w:tab w:val="left" w:pos="1800"/>
              </w:tabs>
              <w:ind w:right="45"/>
              <w:jc w:val="both"/>
              <w:rPr>
                <w:rFonts w:eastAsia="Arial"/>
              </w:rPr>
            </w:pPr>
            <w:r>
              <w:rPr>
                <w:rFonts w:eastAsia="Arial"/>
              </w:rPr>
              <w:t>2</w:t>
            </w:r>
          </w:p>
        </w:tc>
        <w:tc>
          <w:tcPr>
            <w:tcW w:w="3428" w:type="dxa"/>
          </w:tcPr>
          <w:p w:rsidR="006F6DD7" w:rsidRDefault="006F6DD7" w:rsidP="008771DD">
            <w:pPr>
              <w:tabs>
                <w:tab w:val="left" w:pos="1800"/>
              </w:tabs>
              <w:ind w:right="45"/>
              <w:jc w:val="both"/>
              <w:rPr>
                <w:rFonts w:eastAsia="Arial"/>
              </w:rPr>
            </w:pPr>
            <w:r>
              <w:rPr>
                <w:rFonts w:eastAsia="Arial"/>
              </w:rPr>
              <w:t xml:space="preserve">Investigate and identify mobile working solution from </w:t>
            </w:r>
            <w:proofErr w:type="spellStart"/>
            <w:r>
              <w:rPr>
                <w:rFonts w:eastAsia="Arial"/>
              </w:rPr>
              <w:t>idox</w:t>
            </w:r>
            <w:proofErr w:type="spellEnd"/>
          </w:p>
        </w:tc>
        <w:tc>
          <w:tcPr>
            <w:tcW w:w="4961" w:type="dxa"/>
          </w:tcPr>
          <w:p w:rsidR="006F6DD7" w:rsidRPr="00E36ADD" w:rsidRDefault="006F6DD7" w:rsidP="008771DD">
            <w:pPr>
              <w:pStyle w:val="ListParagraph"/>
              <w:widowControl w:val="0"/>
              <w:numPr>
                <w:ilvl w:val="0"/>
                <w:numId w:val="2"/>
              </w:numPr>
              <w:tabs>
                <w:tab w:val="left" w:pos="1800"/>
              </w:tabs>
              <w:ind w:right="45"/>
              <w:jc w:val="both"/>
              <w:rPr>
                <w:rFonts w:eastAsia="Arial"/>
              </w:rPr>
            </w:pPr>
            <w:r w:rsidRPr="00E36ADD">
              <w:rPr>
                <w:rFonts w:eastAsia="Arial"/>
              </w:rPr>
              <w:t>Liaise with IT to identify the best solution and costs</w:t>
            </w:r>
          </w:p>
          <w:p w:rsidR="006F6DD7" w:rsidRPr="00E36ADD" w:rsidRDefault="006F6DD7" w:rsidP="008771DD">
            <w:pPr>
              <w:pStyle w:val="ListParagraph"/>
              <w:widowControl w:val="0"/>
              <w:numPr>
                <w:ilvl w:val="0"/>
                <w:numId w:val="2"/>
              </w:numPr>
              <w:tabs>
                <w:tab w:val="left" w:pos="1800"/>
              </w:tabs>
              <w:ind w:right="45"/>
              <w:jc w:val="both"/>
              <w:rPr>
                <w:rFonts w:eastAsia="Arial"/>
              </w:rPr>
            </w:pPr>
            <w:r w:rsidRPr="00E36ADD">
              <w:rPr>
                <w:rFonts w:eastAsia="Arial"/>
              </w:rPr>
              <w:t xml:space="preserve">Test and implement </w:t>
            </w:r>
          </w:p>
          <w:p w:rsidR="006F6DD7" w:rsidRPr="00E36ADD" w:rsidRDefault="006F6DD7" w:rsidP="008771DD">
            <w:pPr>
              <w:pStyle w:val="ListParagraph"/>
              <w:widowControl w:val="0"/>
              <w:numPr>
                <w:ilvl w:val="0"/>
                <w:numId w:val="2"/>
              </w:numPr>
              <w:tabs>
                <w:tab w:val="left" w:pos="1800"/>
              </w:tabs>
              <w:ind w:right="45"/>
              <w:jc w:val="both"/>
              <w:rPr>
                <w:rFonts w:eastAsia="Arial"/>
              </w:rPr>
            </w:pPr>
            <w:r w:rsidRPr="00E36ADD">
              <w:rPr>
                <w:rFonts w:eastAsia="Arial"/>
              </w:rPr>
              <w:t xml:space="preserve">Target </w:t>
            </w:r>
            <w:r>
              <w:rPr>
                <w:rFonts w:eastAsia="Arial"/>
              </w:rPr>
              <w:t>31/3/18</w:t>
            </w:r>
          </w:p>
        </w:tc>
      </w:tr>
      <w:tr w:rsidR="006F6DD7" w:rsidRPr="00E36ADD" w:rsidTr="00D30617">
        <w:tc>
          <w:tcPr>
            <w:tcW w:w="541" w:type="dxa"/>
          </w:tcPr>
          <w:p w:rsidR="006F6DD7" w:rsidRDefault="006F6DD7" w:rsidP="003303B2">
            <w:pPr>
              <w:tabs>
                <w:tab w:val="left" w:pos="1800"/>
              </w:tabs>
              <w:ind w:right="45"/>
              <w:jc w:val="both"/>
              <w:rPr>
                <w:rFonts w:eastAsia="Arial"/>
              </w:rPr>
            </w:pPr>
            <w:r>
              <w:rPr>
                <w:rFonts w:eastAsia="Arial"/>
              </w:rPr>
              <w:t>3</w:t>
            </w:r>
          </w:p>
        </w:tc>
        <w:tc>
          <w:tcPr>
            <w:tcW w:w="3428" w:type="dxa"/>
          </w:tcPr>
          <w:p w:rsidR="006F6DD7" w:rsidRDefault="006F6DD7" w:rsidP="008771DD">
            <w:pPr>
              <w:tabs>
                <w:tab w:val="left" w:pos="1800"/>
              </w:tabs>
              <w:ind w:right="45"/>
              <w:jc w:val="both"/>
              <w:rPr>
                <w:rFonts w:eastAsia="Arial"/>
              </w:rPr>
            </w:pPr>
            <w:r>
              <w:rPr>
                <w:rFonts w:eastAsia="Arial"/>
              </w:rPr>
              <w:t xml:space="preserve">Implement an electronic applications system – </w:t>
            </w:r>
            <w:proofErr w:type="spellStart"/>
            <w:r>
              <w:rPr>
                <w:rFonts w:eastAsia="Arial"/>
              </w:rPr>
              <w:t>iApply</w:t>
            </w:r>
            <w:proofErr w:type="spellEnd"/>
            <w:r>
              <w:rPr>
                <w:rFonts w:eastAsia="Arial"/>
              </w:rPr>
              <w:t xml:space="preserve"> from </w:t>
            </w:r>
            <w:proofErr w:type="spellStart"/>
            <w:r>
              <w:rPr>
                <w:rFonts w:eastAsia="Arial"/>
              </w:rPr>
              <w:t>idox</w:t>
            </w:r>
            <w:proofErr w:type="spellEnd"/>
          </w:p>
        </w:tc>
        <w:tc>
          <w:tcPr>
            <w:tcW w:w="4961" w:type="dxa"/>
          </w:tcPr>
          <w:p w:rsidR="006F6DD7" w:rsidRPr="00E36ADD" w:rsidRDefault="006F6DD7" w:rsidP="008771DD">
            <w:pPr>
              <w:pStyle w:val="ListParagraph"/>
              <w:widowControl w:val="0"/>
              <w:numPr>
                <w:ilvl w:val="0"/>
                <w:numId w:val="2"/>
              </w:numPr>
              <w:tabs>
                <w:tab w:val="left" w:pos="1800"/>
              </w:tabs>
              <w:ind w:right="45"/>
              <w:jc w:val="both"/>
              <w:rPr>
                <w:rFonts w:eastAsia="Arial"/>
              </w:rPr>
            </w:pPr>
            <w:r w:rsidRPr="00E36ADD">
              <w:rPr>
                <w:rFonts w:eastAsia="Arial"/>
              </w:rPr>
              <w:t>Liaise with IT to identify the best solution and costs</w:t>
            </w:r>
          </w:p>
          <w:p w:rsidR="006F6DD7" w:rsidRPr="00E36ADD" w:rsidRDefault="006F6DD7" w:rsidP="008771DD">
            <w:pPr>
              <w:pStyle w:val="ListParagraph"/>
              <w:widowControl w:val="0"/>
              <w:numPr>
                <w:ilvl w:val="0"/>
                <w:numId w:val="2"/>
              </w:numPr>
              <w:tabs>
                <w:tab w:val="left" w:pos="1800"/>
              </w:tabs>
              <w:ind w:right="45"/>
              <w:jc w:val="both"/>
              <w:rPr>
                <w:rFonts w:eastAsia="Arial"/>
              </w:rPr>
            </w:pPr>
            <w:r w:rsidRPr="00E36ADD">
              <w:rPr>
                <w:rFonts w:eastAsia="Arial"/>
              </w:rPr>
              <w:t>Test and implement</w:t>
            </w:r>
          </w:p>
          <w:p w:rsidR="006F6DD7" w:rsidRPr="00E36ADD" w:rsidRDefault="006F6DD7" w:rsidP="008771DD">
            <w:pPr>
              <w:pStyle w:val="ListParagraph"/>
              <w:widowControl w:val="0"/>
              <w:numPr>
                <w:ilvl w:val="0"/>
                <w:numId w:val="2"/>
              </w:numPr>
              <w:tabs>
                <w:tab w:val="left" w:pos="1800"/>
              </w:tabs>
              <w:ind w:right="45"/>
              <w:jc w:val="both"/>
              <w:rPr>
                <w:rFonts w:eastAsia="Arial"/>
              </w:rPr>
            </w:pPr>
            <w:r w:rsidRPr="00E36ADD">
              <w:rPr>
                <w:rFonts w:eastAsia="Arial"/>
              </w:rPr>
              <w:t xml:space="preserve">Target </w:t>
            </w:r>
            <w:r>
              <w:rPr>
                <w:rFonts w:eastAsia="Arial"/>
              </w:rPr>
              <w:t>31/3/18</w:t>
            </w:r>
          </w:p>
        </w:tc>
      </w:tr>
      <w:tr w:rsidR="006F6DD7" w:rsidRPr="00E36ADD" w:rsidTr="00D30617">
        <w:tc>
          <w:tcPr>
            <w:tcW w:w="541" w:type="dxa"/>
          </w:tcPr>
          <w:p w:rsidR="006F6DD7" w:rsidRDefault="006F6DD7" w:rsidP="003303B2">
            <w:pPr>
              <w:tabs>
                <w:tab w:val="left" w:pos="1800"/>
              </w:tabs>
              <w:ind w:right="45"/>
              <w:jc w:val="both"/>
              <w:rPr>
                <w:rFonts w:eastAsia="Arial"/>
              </w:rPr>
            </w:pPr>
            <w:r>
              <w:rPr>
                <w:rFonts w:eastAsia="Arial"/>
              </w:rPr>
              <w:t>4</w:t>
            </w:r>
          </w:p>
        </w:tc>
        <w:tc>
          <w:tcPr>
            <w:tcW w:w="3428" w:type="dxa"/>
          </w:tcPr>
          <w:p w:rsidR="006F6DD7" w:rsidRDefault="006F6DD7" w:rsidP="008771DD">
            <w:pPr>
              <w:tabs>
                <w:tab w:val="left" w:pos="1800"/>
              </w:tabs>
              <w:ind w:right="45"/>
              <w:jc w:val="both"/>
              <w:rPr>
                <w:rFonts w:eastAsia="Arial"/>
              </w:rPr>
            </w:pPr>
            <w:r>
              <w:rPr>
                <w:rFonts w:eastAsia="Arial"/>
              </w:rPr>
              <w:t>Identify process improvements that will reduce bureaucracy and ensure the Applications Team and BC Team work together and improve the customer experience</w:t>
            </w:r>
          </w:p>
        </w:tc>
        <w:tc>
          <w:tcPr>
            <w:tcW w:w="4961" w:type="dxa"/>
          </w:tcPr>
          <w:p w:rsidR="006F6DD7" w:rsidRPr="00E36ADD" w:rsidRDefault="006F6DD7" w:rsidP="008771DD">
            <w:pPr>
              <w:pStyle w:val="ListParagraph"/>
              <w:widowControl w:val="0"/>
              <w:numPr>
                <w:ilvl w:val="0"/>
                <w:numId w:val="2"/>
              </w:numPr>
              <w:tabs>
                <w:tab w:val="left" w:pos="1800"/>
              </w:tabs>
              <w:ind w:right="45"/>
              <w:jc w:val="both"/>
              <w:rPr>
                <w:rFonts w:eastAsia="Arial"/>
              </w:rPr>
            </w:pPr>
            <w:r>
              <w:rPr>
                <w:rFonts w:eastAsia="Arial"/>
              </w:rPr>
              <w:t>Continue to regularly</w:t>
            </w:r>
            <w:r w:rsidRPr="00E36ADD">
              <w:rPr>
                <w:rFonts w:eastAsia="Arial"/>
              </w:rPr>
              <w:t xml:space="preserve"> review </w:t>
            </w:r>
            <w:r>
              <w:rPr>
                <w:rFonts w:eastAsia="Arial"/>
              </w:rPr>
              <w:t xml:space="preserve">performance </w:t>
            </w:r>
            <w:r w:rsidRPr="00E36ADD">
              <w:rPr>
                <w:rFonts w:eastAsia="Arial"/>
              </w:rPr>
              <w:t>of the SLA</w:t>
            </w:r>
          </w:p>
          <w:p w:rsidR="006F6DD7" w:rsidRPr="00E36ADD" w:rsidRDefault="006F6DD7" w:rsidP="008771DD">
            <w:pPr>
              <w:pStyle w:val="ListParagraph"/>
              <w:widowControl w:val="0"/>
              <w:numPr>
                <w:ilvl w:val="0"/>
                <w:numId w:val="2"/>
              </w:numPr>
              <w:tabs>
                <w:tab w:val="left" w:pos="1800"/>
              </w:tabs>
              <w:ind w:right="45"/>
              <w:jc w:val="both"/>
              <w:rPr>
                <w:rFonts w:eastAsia="Arial"/>
              </w:rPr>
            </w:pPr>
            <w:r w:rsidRPr="00E36ADD">
              <w:rPr>
                <w:rFonts w:eastAsia="Arial"/>
              </w:rPr>
              <w:t>Identify service improvements outside the SLA</w:t>
            </w:r>
          </w:p>
          <w:p w:rsidR="006F6DD7" w:rsidRPr="00E36ADD" w:rsidRDefault="006F6DD7" w:rsidP="008771DD">
            <w:pPr>
              <w:pStyle w:val="ListParagraph"/>
              <w:widowControl w:val="0"/>
              <w:numPr>
                <w:ilvl w:val="0"/>
                <w:numId w:val="2"/>
              </w:numPr>
              <w:tabs>
                <w:tab w:val="left" w:pos="1800"/>
              </w:tabs>
              <w:ind w:right="45"/>
              <w:jc w:val="both"/>
              <w:rPr>
                <w:rFonts w:eastAsia="Arial"/>
              </w:rPr>
            </w:pPr>
            <w:r w:rsidRPr="00E36ADD">
              <w:rPr>
                <w:rFonts w:eastAsia="Arial"/>
              </w:rPr>
              <w:t>Agree improvements and implement</w:t>
            </w:r>
          </w:p>
          <w:p w:rsidR="006F6DD7" w:rsidRPr="00E36ADD" w:rsidRDefault="006F6DD7" w:rsidP="008771DD">
            <w:pPr>
              <w:pStyle w:val="ListParagraph"/>
              <w:widowControl w:val="0"/>
              <w:numPr>
                <w:ilvl w:val="0"/>
                <w:numId w:val="2"/>
              </w:numPr>
              <w:tabs>
                <w:tab w:val="left" w:pos="1800"/>
              </w:tabs>
              <w:ind w:right="45"/>
              <w:jc w:val="both"/>
              <w:rPr>
                <w:rFonts w:eastAsia="Arial"/>
              </w:rPr>
            </w:pPr>
            <w:r w:rsidRPr="00E36ADD">
              <w:rPr>
                <w:rFonts w:eastAsia="Arial"/>
              </w:rPr>
              <w:t>Target 31/</w:t>
            </w:r>
            <w:r>
              <w:rPr>
                <w:rFonts w:eastAsia="Arial"/>
              </w:rPr>
              <w:t>3/18</w:t>
            </w:r>
          </w:p>
        </w:tc>
      </w:tr>
      <w:tr w:rsidR="006F6DD7" w:rsidRPr="00E36ADD" w:rsidTr="00D30617">
        <w:tc>
          <w:tcPr>
            <w:tcW w:w="541" w:type="dxa"/>
          </w:tcPr>
          <w:p w:rsidR="006F6DD7" w:rsidRDefault="006F6DD7" w:rsidP="003303B2">
            <w:pPr>
              <w:tabs>
                <w:tab w:val="left" w:pos="1800"/>
              </w:tabs>
              <w:ind w:right="45"/>
              <w:jc w:val="both"/>
              <w:rPr>
                <w:rFonts w:eastAsia="Arial"/>
              </w:rPr>
            </w:pPr>
            <w:r>
              <w:rPr>
                <w:rFonts w:eastAsia="Arial"/>
              </w:rPr>
              <w:t>5</w:t>
            </w:r>
          </w:p>
        </w:tc>
        <w:tc>
          <w:tcPr>
            <w:tcW w:w="3428" w:type="dxa"/>
          </w:tcPr>
          <w:p w:rsidR="006F6DD7" w:rsidRDefault="006F6DD7" w:rsidP="008771DD">
            <w:pPr>
              <w:tabs>
                <w:tab w:val="left" w:pos="1800"/>
              </w:tabs>
              <w:ind w:right="45"/>
              <w:jc w:val="both"/>
              <w:rPr>
                <w:rFonts w:eastAsia="Arial"/>
              </w:rPr>
            </w:pPr>
            <w:r>
              <w:rPr>
                <w:rFonts w:eastAsia="Arial"/>
              </w:rPr>
              <w:t>Identify areas that can be improved, developed and exploited to maximise the capture of business</w:t>
            </w:r>
          </w:p>
        </w:tc>
        <w:tc>
          <w:tcPr>
            <w:tcW w:w="4961" w:type="dxa"/>
          </w:tcPr>
          <w:p w:rsidR="006F6DD7" w:rsidRPr="00E36ADD" w:rsidRDefault="006F6DD7" w:rsidP="008771DD">
            <w:pPr>
              <w:pStyle w:val="ListParagraph"/>
              <w:widowControl w:val="0"/>
              <w:numPr>
                <w:ilvl w:val="0"/>
                <w:numId w:val="2"/>
              </w:numPr>
              <w:tabs>
                <w:tab w:val="left" w:pos="1800"/>
              </w:tabs>
              <w:ind w:right="45"/>
              <w:jc w:val="both"/>
              <w:rPr>
                <w:rFonts w:eastAsia="Arial"/>
              </w:rPr>
            </w:pPr>
            <w:r w:rsidRPr="00E36ADD">
              <w:rPr>
                <w:rFonts w:eastAsia="Arial"/>
              </w:rPr>
              <w:t>Identify critical control points where marketing and promotion can take place to boost BC business gains</w:t>
            </w:r>
          </w:p>
          <w:p w:rsidR="006F6DD7" w:rsidRPr="00E36ADD" w:rsidRDefault="006F6DD7" w:rsidP="008771DD">
            <w:pPr>
              <w:pStyle w:val="ListParagraph"/>
              <w:widowControl w:val="0"/>
              <w:numPr>
                <w:ilvl w:val="0"/>
                <w:numId w:val="2"/>
              </w:numPr>
              <w:tabs>
                <w:tab w:val="left" w:pos="1800"/>
              </w:tabs>
              <w:ind w:right="45"/>
              <w:jc w:val="both"/>
              <w:rPr>
                <w:rFonts w:eastAsia="Arial"/>
              </w:rPr>
            </w:pPr>
            <w:r w:rsidRPr="00E36ADD">
              <w:rPr>
                <w:rFonts w:eastAsia="Arial"/>
              </w:rPr>
              <w:t>Change processes if necessary to provide a market advantage for BC</w:t>
            </w:r>
          </w:p>
          <w:p w:rsidR="006F6DD7" w:rsidRPr="00E36ADD" w:rsidRDefault="006F6DD7" w:rsidP="008771DD">
            <w:pPr>
              <w:pStyle w:val="ListParagraph"/>
              <w:widowControl w:val="0"/>
              <w:numPr>
                <w:ilvl w:val="0"/>
                <w:numId w:val="2"/>
              </w:numPr>
              <w:tabs>
                <w:tab w:val="left" w:pos="1800"/>
              </w:tabs>
              <w:ind w:right="45"/>
              <w:jc w:val="both"/>
              <w:rPr>
                <w:rFonts w:eastAsia="Arial"/>
              </w:rPr>
            </w:pPr>
            <w:r w:rsidRPr="00E36ADD">
              <w:rPr>
                <w:rFonts w:eastAsia="Arial"/>
              </w:rPr>
              <w:t>Target 31/</w:t>
            </w:r>
            <w:r>
              <w:rPr>
                <w:rFonts w:eastAsia="Arial"/>
              </w:rPr>
              <w:t>3/18</w:t>
            </w:r>
            <w:r w:rsidRPr="00E36ADD">
              <w:rPr>
                <w:rFonts w:eastAsia="Arial"/>
              </w:rPr>
              <w:t xml:space="preserve"> </w:t>
            </w:r>
          </w:p>
        </w:tc>
      </w:tr>
      <w:tr w:rsidR="006F6DD7" w:rsidRPr="00E36ADD" w:rsidTr="00D30617">
        <w:tc>
          <w:tcPr>
            <w:tcW w:w="541" w:type="dxa"/>
          </w:tcPr>
          <w:p w:rsidR="006F6DD7" w:rsidRDefault="006F6DD7" w:rsidP="003303B2">
            <w:pPr>
              <w:tabs>
                <w:tab w:val="left" w:pos="1800"/>
              </w:tabs>
              <w:ind w:right="45"/>
              <w:jc w:val="both"/>
              <w:rPr>
                <w:rFonts w:eastAsia="Arial"/>
              </w:rPr>
            </w:pPr>
            <w:r>
              <w:rPr>
                <w:rFonts w:eastAsia="Arial"/>
              </w:rPr>
              <w:t>6</w:t>
            </w:r>
          </w:p>
        </w:tc>
        <w:tc>
          <w:tcPr>
            <w:tcW w:w="3428" w:type="dxa"/>
          </w:tcPr>
          <w:p w:rsidR="006F6DD7" w:rsidRDefault="006F6DD7" w:rsidP="008771DD">
            <w:pPr>
              <w:tabs>
                <w:tab w:val="left" w:pos="1800"/>
              </w:tabs>
              <w:ind w:right="45"/>
              <w:jc w:val="both"/>
              <w:rPr>
                <w:rFonts w:eastAsia="Arial"/>
              </w:rPr>
            </w:pPr>
            <w:r>
              <w:rPr>
                <w:rFonts w:eastAsia="Arial"/>
              </w:rPr>
              <w:t>Continue to analyse Approved Inspectors data and develop a plan of action to take back market share</w:t>
            </w:r>
          </w:p>
        </w:tc>
        <w:tc>
          <w:tcPr>
            <w:tcW w:w="4961" w:type="dxa"/>
          </w:tcPr>
          <w:p w:rsidR="006F6DD7" w:rsidRPr="00E36ADD" w:rsidRDefault="006F6DD7" w:rsidP="008771DD">
            <w:pPr>
              <w:pStyle w:val="ListParagraph"/>
              <w:widowControl w:val="0"/>
              <w:numPr>
                <w:ilvl w:val="0"/>
                <w:numId w:val="2"/>
              </w:numPr>
              <w:tabs>
                <w:tab w:val="left" w:pos="1800"/>
              </w:tabs>
              <w:ind w:right="45"/>
              <w:jc w:val="both"/>
              <w:rPr>
                <w:rFonts w:eastAsia="Arial"/>
              </w:rPr>
            </w:pPr>
            <w:r w:rsidRPr="00E36ADD">
              <w:rPr>
                <w:rFonts w:eastAsia="Arial"/>
              </w:rPr>
              <w:t>Analyse Initial notices by company, client and work type</w:t>
            </w:r>
          </w:p>
          <w:p w:rsidR="006F6DD7" w:rsidRPr="00E36ADD" w:rsidRDefault="006F6DD7" w:rsidP="008771DD">
            <w:pPr>
              <w:pStyle w:val="ListParagraph"/>
              <w:widowControl w:val="0"/>
              <w:numPr>
                <w:ilvl w:val="0"/>
                <w:numId w:val="2"/>
              </w:numPr>
              <w:tabs>
                <w:tab w:val="left" w:pos="1800"/>
              </w:tabs>
              <w:ind w:right="45"/>
              <w:jc w:val="both"/>
              <w:rPr>
                <w:rFonts w:eastAsia="Arial"/>
              </w:rPr>
            </w:pPr>
            <w:r w:rsidRPr="00E36ADD">
              <w:rPr>
                <w:rFonts w:eastAsia="Arial"/>
              </w:rPr>
              <w:t>Use data to develop a plan to win back market share</w:t>
            </w:r>
          </w:p>
          <w:p w:rsidR="006F6DD7" w:rsidRPr="00E36ADD" w:rsidRDefault="006F6DD7" w:rsidP="008771DD">
            <w:pPr>
              <w:pStyle w:val="ListParagraph"/>
              <w:widowControl w:val="0"/>
              <w:numPr>
                <w:ilvl w:val="0"/>
                <w:numId w:val="2"/>
              </w:numPr>
              <w:tabs>
                <w:tab w:val="left" w:pos="1800"/>
              </w:tabs>
              <w:ind w:right="45"/>
              <w:jc w:val="both"/>
              <w:rPr>
                <w:rFonts w:eastAsia="Arial"/>
              </w:rPr>
            </w:pPr>
            <w:r w:rsidRPr="00E36ADD">
              <w:rPr>
                <w:rFonts w:eastAsia="Arial"/>
              </w:rPr>
              <w:t>Target 3</w:t>
            </w:r>
            <w:r>
              <w:rPr>
                <w:rFonts w:eastAsia="Arial"/>
              </w:rPr>
              <w:t>0/9/17</w:t>
            </w:r>
          </w:p>
        </w:tc>
      </w:tr>
      <w:tr w:rsidR="006F6DD7" w:rsidRPr="00E36ADD" w:rsidTr="00D30617">
        <w:tc>
          <w:tcPr>
            <w:tcW w:w="541" w:type="dxa"/>
          </w:tcPr>
          <w:p w:rsidR="006F6DD7" w:rsidRDefault="006F6DD7" w:rsidP="003303B2">
            <w:pPr>
              <w:tabs>
                <w:tab w:val="left" w:pos="1800"/>
              </w:tabs>
              <w:ind w:right="45"/>
              <w:jc w:val="both"/>
              <w:rPr>
                <w:rFonts w:eastAsia="Arial"/>
              </w:rPr>
            </w:pPr>
            <w:r>
              <w:rPr>
                <w:rFonts w:eastAsia="Arial"/>
              </w:rPr>
              <w:t>7</w:t>
            </w:r>
          </w:p>
        </w:tc>
        <w:tc>
          <w:tcPr>
            <w:tcW w:w="3428" w:type="dxa"/>
          </w:tcPr>
          <w:p w:rsidR="006F6DD7" w:rsidRDefault="006F6DD7" w:rsidP="00067B8E">
            <w:pPr>
              <w:tabs>
                <w:tab w:val="left" w:pos="1800"/>
              </w:tabs>
              <w:ind w:right="45"/>
              <w:jc w:val="both"/>
              <w:rPr>
                <w:rFonts w:eastAsia="Arial"/>
              </w:rPr>
            </w:pPr>
            <w:r>
              <w:rPr>
                <w:rFonts w:eastAsia="Arial"/>
              </w:rPr>
              <w:t xml:space="preserve">Review the site inspection regime and implement a risk based approach whilst retaining customer satisfaction </w:t>
            </w:r>
          </w:p>
        </w:tc>
        <w:tc>
          <w:tcPr>
            <w:tcW w:w="4961" w:type="dxa"/>
          </w:tcPr>
          <w:p w:rsidR="006F6DD7" w:rsidRPr="00E36ADD" w:rsidRDefault="006F6DD7" w:rsidP="00067B8E">
            <w:pPr>
              <w:pStyle w:val="ListParagraph"/>
              <w:widowControl w:val="0"/>
              <w:numPr>
                <w:ilvl w:val="0"/>
                <w:numId w:val="2"/>
              </w:numPr>
              <w:tabs>
                <w:tab w:val="left" w:pos="1800"/>
              </w:tabs>
              <w:ind w:right="45"/>
              <w:jc w:val="both"/>
              <w:rPr>
                <w:rFonts w:eastAsia="Arial"/>
              </w:rPr>
            </w:pPr>
            <w:r w:rsidRPr="00E36ADD">
              <w:rPr>
                <w:rFonts w:eastAsia="Arial"/>
              </w:rPr>
              <w:t>Identify where resources could be saved by carrying out less inspections, or carrying out inspections more efficiently but not lose customer confidence</w:t>
            </w:r>
          </w:p>
          <w:p w:rsidR="006F6DD7" w:rsidRPr="00E36ADD" w:rsidRDefault="006F6DD7" w:rsidP="00067B8E">
            <w:pPr>
              <w:pStyle w:val="ListParagraph"/>
              <w:widowControl w:val="0"/>
              <w:numPr>
                <w:ilvl w:val="0"/>
                <w:numId w:val="2"/>
              </w:numPr>
              <w:tabs>
                <w:tab w:val="left" w:pos="1800"/>
              </w:tabs>
              <w:ind w:right="45"/>
              <w:jc w:val="both"/>
              <w:rPr>
                <w:rFonts w:eastAsia="Arial"/>
              </w:rPr>
            </w:pPr>
            <w:r w:rsidRPr="00E36ADD">
              <w:rPr>
                <w:rFonts w:eastAsia="Arial"/>
              </w:rPr>
              <w:t>Target 31/3/1</w:t>
            </w:r>
            <w:r>
              <w:rPr>
                <w:rFonts w:eastAsia="Arial"/>
              </w:rPr>
              <w:t>8</w:t>
            </w:r>
          </w:p>
        </w:tc>
      </w:tr>
      <w:tr w:rsidR="006F6DD7" w:rsidRPr="00E36ADD" w:rsidTr="00D30617">
        <w:tc>
          <w:tcPr>
            <w:tcW w:w="541" w:type="dxa"/>
          </w:tcPr>
          <w:p w:rsidR="006F6DD7" w:rsidRDefault="006F6DD7" w:rsidP="003303B2">
            <w:pPr>
              <w:tabs>
                <w:tab w:val="left" w:pos="1800"/>
              </w:tabs>
              <w:ind w:right="45"/>
              <w:jc w:val="both"/>
              <w:rPr>
                <w:rFonts w:eastAsia="Arial"/>
              </w:rPr>
            </w:pPr>
            <w:r>
              <w:rPr>
                <w:rFonts w:eastAsia="Arial"/>
              </w:rPr>
              <w:t>8</w:t>
            </w:r>
          </w:p>
        </w:tc>
        <w:tc>
          <w:tcPr>
            <w:tcW w:w="3428" w:type="dxa"/>
          </w:tcPr>
          <w:p w:rsidR="006F6DD7" w:rsidRDefault="006F6DD7" w:rsidP="003303B2">
            <w:pPr>
              <w:tabs>
                <w:tab w:val="left" w:pos="1800"/>
              </w:tabs>
              <w:ind w:right="45"/>
              <w:jc w:val="both"/>
              <w:rPr>
                <w:rFonts w:eastAsia="Arial"/>
              </w:rPr>
            </w:pPr>
            <w:r>
              <w:rPr>
                <w:rFonts w:eastAsia="Arial"/>
              </w:rPr>
              <w:t xml:space="preserve">Develop a suite of complementary services such as Fire Risk Assessments that are income generating </w:t>
            </w:r>
          </w:p>
        </w:tc>
        <w:tc>
          <w:tcPr>
            <w:tcW w:w="4961" w:type="dxa"/>
          </w:tcPr>
          <w:p w:rsidR="006F6DD7" w:rsidRPr="00E36ADD" w:rsidRDefault="006F6DD7" w:rsidP="00AE2036">
            <w:pPr>
              <w:pStyle w:val="ListParagraph"/>
              <w:widowControl w:val="0"/>
              <w:numPr>
                <w:ilvl w:val="0"/>
                <w:numId w:val="2"/>
              </w:numPr>
              <w:tabs>
                <w:tab w:val="left" w:pos="1800"/>
              </w:tabs>
              <w:ind w:right="45"/>
              <w:jc w:val="both"/>
              <w:rPr>
                <w:rFonts w:eastAsia="Arial"/>
              </w:rPr>
            </w:pPr>
            <w:r w:rsidRPr="00E36ADD">
              <w:rPr>
                <w:rFonts w:eastAsia="Arial"/>
              </w:rPr>
              <w:t>Establish what skill base we have across P</w:t>
            </w:r>
            <w:r>
              <w:rPr>
                <w:rFonts w:eastAsia="Arial"/>
              </w:rPr>
              <w:t>SD</w:t>
            </w:r>
            <w:r w:rsidRPr="00E36ADD">
              <w:rPr>
                <w:rFonts w:eastAsia="Arial"/>
              </w:rPr>
              <w:t>&amp;R</w:t>
            </w:r>
          </w:p>
          <w:p w:rsidR="006F6DD7" w:rsidRPr="00E36ADD" w:rsidRDefault="006F6DD7" w:rsidP="00AE2036">
            <w:pPr>
              <w:pStyle w:val="ListParagraph"/>
              <w:widowControl w:val="0"/>
              <w:numPr>
                <w:ilvl w:val="0"/>
                <w:numId w:val="2"/>
              </w:numPr>
              <w:tabs>
                <w:tab w:val="left" w:pos="1800"/>
              </w:tabs>
              <w:ind w:right="45"/>
              <w:jc w:val="both"/>
              <w:rPr>
                <w:rFonts w:eastAsia="Arial"/>
              </w:rPr>
            </w:pPr>
            <w:r w:rsidRPr="00E36ADD">
              <w:rPr>
                <w:rFonts w:eastAsia="Arial"/>
              </w:rPr>
              <w:t>Identify what other LABCs are providing</w:t>
            </w:r>
          </w:p>
          <w:p w:rsidR="006F6DD7" w:rsidRPr="00E36ADD" w:rsidRDefault="006F6DD7" w:rsidP="00AE2036">
            <w:pPr>
              <w:pStyle w:val="ListParagraph"/>
              <w:widowControl w:val="0"/>
              <w:numPr>
                <w:ilvl w:val="0"/>
                <w:numId w:val="2"/>
              </w:numPr>
              <w:tabs>
                <w:tab w:val="left" w:pos="1800"/>
              </w:tabs>
              <w:ind w:right="45"/>
              <w:jc w:val="both"/>
              <w:rPr>
                <w:rFonts w:eastAsia="Arial"/>
              </w:rPr>
            </w:pPr>
            <w:r w:rsidRPr="00E36ADD">
              <w:rPr>
                <w:rFonts w:eastAsia="Arial"/>
              </w:rPr>
              <w:t>Decide which services we can provide</w:t>
            </w:r>
          </w:p>
          <w:p w:rsidR="006F6DD7" w:rsidRPr="00E36ADD" w:rsidRDefault="006F6DD7" w:rsidP="00AE2036">
            <w:pPr>
              <w:pStyle w:val="ListParagraph"/>
              <w:widowControl w:val="0"/>
              <w:numPr>
                <w:ilvl w:val="0"/>
                <w:numId w:val="2"/>
              </w:numPr>
              <w:tabs>
                <w:tab w:val="left" w:pos="1800"/>
              </w:tabs>
              <w:ind w:right="45"/>
              <w:jc w:val="both"/>
              <w:rPr>
                <w:rFonts w:eastAsia="Arial"/>
              </w:rPr>
            </w:pPr>
            <w:r w:rsidRPr="00E36ADD">
              <w:rPr>
                <w:rFonts w:eastAsia="Arial"/>
              </w:rPr>
              <w:t>Cost out and plan how to market services</w:t>
            </w:r>
          </w:p>
          <w:p w:rsidR="006F6DD7" w:rsidRPr="00E36ADD" w:rsidRDefault="006F6DD7" w:rsidP="001F217B">
            <w:pPr>
              <w:pStyle w:val="ListParagraph"/>
              <w:widowControl w:val="0"/>
              <w:numPr>
                <w:ilvl w:val="0"/>
                <w:numId w:val="2"/>
              </w:numPr>
              <w:tabs>
                <w:tab w:val="left" w:pos="1800"/>
              </w:tabs>
              <w:ind w:right="45"/>
              <w:jc w:val="both"/>
              <w:rPr>
                <w:rFonts w:eastAsia="Arial"/>
              </w:rPr>
            </w:pPr>
            <w:r w:rsidRPr="00E36ADD">
              <w:rPr>
                <w:rFonts w:eastAsia="Arial"/>
              </w:rPr>
              <w:t>Target 3</w:t>
            </w:r>
            <w:r>
              <w:rPr>
                <w:rFonts w:eastAsia="Arial"/>
              </w:rPr>
              <w:t>0</w:t>
            </w:r>
            <w:r w:rsidRPr="00E36ADD">
              <w:rPr>
                <w:rFonts w:eastAsia="Arial"/>
              </w:rPr>
              <w:t>/</w:t>
            </w:r>
            <w:r>
              <w:rPr>
                <w:rFonts w:eastAsia="Arial"/>
              </w:rPr>
              <w:t>9</w:t>
            </w:r>
            <w:r w:rsidRPr="00E36ADD">
              <w:rPr>
                <w:rFonts w:eastAsia="Arial"/>
              </w:rPr>
              <w:t>/17</w:t>
            </w:r>
          </w:p>
        </w:tc>
      </w:tr>
      <w:tr w:rsidR="006F6DD7" w:rsidRPr="00E36ADD" w:rsidTr="00D30617">
        <w:tc>
          <w:tcPr>
            <w:tcW w:w="541" w:type="dxa"/>
          </w:tcPr>
          <w:p w:rsidR="006F6DD7" w:rsidRDefault="006F6DD7" w:rsidP="003303B2">
            <w:pPr>
              <w:tabs>
                <w:tab w:val="left" w:pos="1800"/>
              </w:tabs>
              <w:ind w:right="45"/>
              <w:jc w:val="both"/>
              <w:rPr>
                <w:rFonts w:eastAsia="Arial"/>
              </w:rPr>
            </w:pPr>
            <w:r>
              <w:rPr>
                <w:rFonts w:eastAsia="Arial"/>
              </w:rPr>
              <w:t>9</w:t>
            </w:r>
          </w:p>
        </w:tc>
        <w:tc>
          <w:tcPr>
            <w:tcW w:w="3428" w:type="dxa"/>
          </w:tcPr>
          <w:p w:rsidR="006F6DD7" w:rsidRDefault="006F6DD7" w:rsidP="000E20D1">
            <w:pPr>
              <w:tabs>
                <w:tab w:val="left" w:pos="1800"/>
              </w:tabs>
              <w:ind w:right="45"/>
              <w:jc w:val="both"/>
              <w:rPr>
                <w:rFonts w:eastAsia="Arial"/>
              </w:rPr>
            </w:pPr>
            <w:r>
              <w:rPr>
                <w:rFonts w:eastAsia="Arial"/>
              </w:rPr>
              <w:t>Review, improve and update the website</w:t>
            </w:r>
          </w:p>
        </w:tc>
        <w:tc>
          <w:tcPr>
            <w:tcW w:w="4961" w:type="dxa"/>
          </w:tcPr>
          <w:p w:rsidR="006F6DD7" w:rsidRPr="00E36ADD" w:rsidRDefault="006F6DD7" w:rsidP="000E20D1">
            <w:pPr>
              <w:pStyle w:val="ListParagraph"/>
              <w:widowControl w:val="0"/>
              <w:numPr>
                <w:ilvl w:val="0"/>
                <w:numId w:val="2"/>
              </w:numPr>
              <w:tabs>
                <w:tab w:val="left" w:pos="1800"/>
              </w:tabs>
              <w:ind w:right="45"/>
              <w:jc w:val="both"/>
              <w:rPr>
                <w:rFonts w:eastAsia="Arial"/>
              </w:rPr>
            </w:pPr>
            <w:r w:rsidRPr="00E36ADD">
              <w:rPr>
                <w:rFonts w:eastAsia="Arial"/>
              </w:rPr>
              <w:t>Establish best practice with other LA websites</w:t>
            </w:r>
          </w:p>
          <w:p w:rsidR="006F6DD7" w:rsidRPr="00E36ADD" w:rsidRDefault="006F6DD7" w:rsidP="000E20D1">
            <w:pPr>
              <w:pStyle w:val="ListParagraph"/>
              <w:widowControl w:val="0"/>
              <w:numPr>
                <w:ilvl w:val="0"/>
                <w:numId w:val="2"/>
              </w:numPr>
              <w:tabs>
                <w:tab w:val="left" w:pos="1800"/>
              </w:tabs>
              <w:ind w:right="45"/>
              <w:jc w:val="both"/>
              <w:rPr>
                <w:rFonts w:eastAsia="Arial"/>
              </w:rPr>
            </w:pPr>
            <w:r w:rsidRPr="00E36ADD">
              <w:rPr>
                <w:rFonts w:eastAsia="Arial"/>
              </w:rPr>
              <w:t xml:space="preserve">Implement necessary changes </w:t>
            </w:r>
          </w:p>
          <w:p w:rsidR="006F6DD7" w:rsidRPr="00E36ADD" w:rsidRDefault="006F6DD7" w:rsidP="000E20D1">
            <w:pPr>
              <w:pStyle w:val="ListParagraph"/>
              <w:widowControl w:val="0"/>
              <w:numPr>
                <w:ilvl w:val="0"/>
                <w:numId w:val="2"/>
              </w:numPr>
              <w:tabs>
                <w:tab w:val="left" w:pos="1800"/>
              </w:tabs>
              <w:ind w:right="45"/>
              <w:jc w:val="both"/>
              <w:rPr>
                <w:rFonts w:eastAsia="Arial"/>
              </w:rPr>
            </w:pPr>
            <w:r w:rsidRPr="00E36ADD">
              <w:rPr>
                <w:rFonts w:eastAsia="Arial"/>
              </w:rPr>
              <w:t>Target 31/3/1</w:t>
            </w:r>
            <w:r>
              <w:rPr>
                <w:rFonts w:eastAsia="Arial"/>
              </w:rPr>
              <w:t>8</w:t>
            </w:r>
          </w:p>
        </w:tc>
      </w:tr>
      <w:tr w:rsidR="006F6DD7" w:rsidRPr="00E36ADD" w:rsidTr="00D30617">
        <w:tc>
          <w:tcPr>
            <w:tcW w:w="541" w:type="dxa"/>
          </w:tcPr>
          <w:p w:rsidR="006F6DD7" w:rsidRDefault="006F6DD7" w:rsidP="003303B2">
            <w:pPr>
              <w:tabs>
                <w:tab w:val="left" w:pos="1800"/>
              </w:tabs>
              <w:ind w:right="45"/>
              <w:jc w:val="both"/>
              <w:rPr>
                <w:rFonts w:eastAsia="Arial"/>
              </w:rPr>
            </w:pPr>
            <w:r>
              <w:rPr>
                <w:rFonts w:eastAsia="Arial"/>
              </w:rPr>
              <w:t>10</w:t>
            </w:r>
          </w:p>
        </w:tc>
        <w:tc>
          <w:tcPr>
            <w:tcW w:w="3428" w:type="dxa"/>
          </w:tcPr>
          <w:p w:rsidR="006F6DD7" w:rsidRDefault="006F6DD7" w:rsidP="00667F8B">
            <w:pPr>
              <w:tabs>
                <w:tab w:val="left" w:pos="1800"/>
              </w:tabs>
              <w:ind w:right="45"/>
              <w:jc w:val="both"/>
              <w:rPr>
                <w:rFonts w:eastAsia="Arial"/>
              </w:rPr>
            </w:pPr>
            <w:r>
              <w:rPr>
                <w:rFonts w:eastAsia="Arial"/>
              </w:rPr>
              <w:t xml:space="preserve">Move as far as is reasonably practicable to electronic plan checking </w:t>
            </w:r>
          </w:p>
        </w:tc>
        <w:tc>
          <w:tcPr>
            <w:tcW w:w="4961" w:type="dxa"/>
          </w:tcPr>
          <w:p w:rsidR="006F6DD7" w:rsidRPr="00E36ADD" w:rsidRDefault="006F6DD7" w:rsidP="00667F8B">
            <w:pPr>
              <w:pStyle w:val="ListParagraph"/>
              <w:widowControl w:val="0"/>
              <w:numPr>
                <w:ilvl w:val="0"/>
                <w:numId w:val="2"/>
              </w:numPr>
              <w:tabs>
                <w:tab w:val="left" w:pos="1800"/>
              </w:tabs>
              <w:ind w:right="45"/>
              <w:jc w:val="both"/>
              <w:rPr>
                <w:rFonts w:eastAsia="Arial"/>
              </w:rPr>
            </w:pPr>
            <w:r w:rsidRPr="00E36ADD">
              <w:rPr>
                <w:rFonts w:eastAsia="Arial"/>
              </w:rPr>
              <w:t xml:space="preserve">Identify the barriers to full electronic plan checking </w:t>
            </w:r>
          </w:p>
          <w:p w:rsidR="006F6DD7" w:rsidRPr="00E36ADD" w:rsidRDefault="006F6DD7" w:rsidP="00667F8B">
            <w:pPr>
              <w:pStyle w:val="ListParagraph"/>
              <w:widowControl w:val="0"/>
              <w:numPr>
                <w:ilvl w:val="0"/>
                <w:numId w:val="2"/>
              </w:numPr>
              <w:tabs>
                <w:tab w:val="left" w:pos="1800"/>
              </w:tabs>
              <w:ind w:right="45"/>
              <w:jc w:val="both"/>
              <w:rPr>
                <w:rFonts w:eastAsia="Arial"/>
              </w:rPr>
            </w:pPr>
            <w:r w:rsidRPr="00E36ADD">
              <w:rPr>
                <w:rFonts w:eastAsia="Arial"/>
              </w:rPr>
              <w:t>Overcome barriers, whether technological or staffing issues</w:t>
            </w:r>
          </w:p>
          <w:p w:rsidR="006F6DD7" w:rsidRPr="00E36ADD" w:rsidRDefault="006F6DD7" w:rsidP="00667F8B">
            <w:pPr>
              <w:pStyle w:val="ListParagraph"/>
              <w:widowControl w:val="0"/>
              <w:numPr>
                <w:ilvl w:val="0"/>
                <w:numId w:val="2"/>
              </w:numPr>
              <w:tabs>
                <w:tab w:val="left" w:pos="1800"/>
              </w:tabs>
              <w:ind w:right="45"/>
              <w:jc w:val="both"/>
              <w:rPr>
                <w:rFonts w:eastAsia="Arial"/>
              </w:rPr>
            </w:pPr>
            <w:r w:rsidRPr="00E36ADD">
              <w:rPr>
                <w:rFonts w:eastAsia="Arial"/>
              </w:rPr>
              <w:t>Target 3</w:t>
            </w:r>
            <w:r>
              <w:rPr>
                <w:rFonts w:eastAsia="Arial"/>
              </w:rPr>
              <w:t>1/3/18</w:t>
            </w:r>
          </w:p>
        </w:tc>
      </w:tr>
    </w:tbl>
    <w:p w:rsidR="005415C7" w:rsidRDefault="005415C7" w:rsidP="003A1AD7"/>
    <w:p w:rsidR="006B5D5A" w:rsidRDefault="006B5D5A" w:rsidP="004D4AA3"/>
    <w:p w:rsidR="006B5D5A" w:rsidRDefault="006B5D5A" w:rsidP="004D4AA3"/>
    <w:p w:rsidR="005D6667" w:rsidRDefault="005D6667" w:rsidP="005D6667">
      <w:pPr>
        <w:pBdr>
          <w:top w:val="single" w:sz="4" w:space="1" w:color="auto"/>
          <w:left w:val="single" w:sz="4" w:space="4" w:color="auto"/>
          <w:bottom w:val="single" w:sz="4" w:space="1" w:color="auto"/>
          <w:right w:val="single" w:sz="4" w:space="4" w:color="auto"/>
        </w:pBdr>
      </w:pPr>
    </w:p>
    <w:p w:rsidR="00132704" w:rsidRDefault="00132704" w:rsidP="005D6667">
      <w:pPr>
        <w:pBdr>
          <w:top w:val="single" w:sz="4" w:space="1" w:color="auto"/>
          <w:left w:val="single" w:sz="4" w:space="4" w:color="auto"/>
          <w:bottom w:val="single" w:sz="4" w:space="1" w:color="auto"/>
          <w:right w:val="single" w:sz="4" w:space="4" w:color="auto"/>
        </w:pBdr>
      </w:pPr>
      <w:r>
        <w:t>Report Author: Ian Wright</w:t>
      </w:r>
    </w:p>
    <w:p w:rsidR="00132704" w:rsidRDefault="00132704" w:rsidP="005D6667">
      <w:pPr>
        <w:pBdr>
          <w:top w:val="single" w:sz="4" w:space="1" w:color="auto"/>
          <w:left w:val="single" w:sz="4" w:space="4" w:color="auto"/>
          <w:bottom w:val="single" w:sz="4" w:space="1" w:color="auto"/>
          <w:right w:val="single" w:sz="4" w:space="4" w:color="auto"/>
        </w:pBdr>
        <w:rPr>
          <w:rStyle w:val="Hyperlink"/>
        </w:rPr>
      </w:pPr>
      <w:r>
        <w:t xml:space="preserve">Email: </w:t>
      </w:r>
      <w:hyperlink r:id="rId14" w:history="1">
        <w:r w:rsidRPr="00F01228">
          <w:rPr>
            <w:rStyle w:val="Hyperlink"/>
          </w:rPr>
          <w:t>iwright@oxford.gov.uk</w:t>
        </w:r>
      </w:hyperlink>
    </w:p>
    <w:p w:rsidR="005D6667" w:rsidRDefault="005D6667" w:rsidP="005D6667">
      <w:pPr>
        <w:pBdr>
          <w:top w:val="single" w:sz="4" w:space="1" w:color="auto"/>
          <w:left w:val="single" w:sz="4" w:space="4" w:color="auto"/>
          <w:bottom w:val="single" w:sz="4" w:space="1" w:color="auto"/>
          <w:right w:val="single" w:sz="4" w:space="4" w:color="auto"/>
        </w:pBdr>
      </w:pPr>
    </w:p>
    <w:p w:rsidR="00132704" w:rsidRDefault="00132704" w:rsidP="005D6667">
      <w:pPr>
        <w:pBdr>
          <w:top w:val="single" w:sz="4" w:space="1" w:color="auto"/>
          <w:left w:val="single" w:sz="4" w:space="4" w:color="auto"/>
          <w:bottom w:val="single" w:sz="4" w:space="1" w:color="auto"/>
          <w:right w:val="single" w:sz="4" w:space="4" w:color="auto"/>
        </w:pBdr>
      </w:pPr>
    </w:p>
    <w:sectPr w:rsidR="00132704" w:rsidSect="00A67B2D">
      <w:headerReference w:type="default" r:id="rId15"/>
      <w:headerReference w:type="first" r:id="rId16"/>
      <w:pgSz w:w="11906" w:h="16838"/>
      <w:pgMar w:top="1257"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6D4" w:rsidRDefault="005226D4" w:rsidP="007D78D4">
      <w:r>
        <w:separator/>
      </w:r>
    </w:p>
  </w:endnote>
  <w:endnote w:type="continuationSeparator" w:id="0">
    <w:p w:rsidR="005226D4" w:rsidRDefault="005226D4" w:rsidP="007D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6D4" w:rsidRDefault="005226D4" w:rsidP="007D78D4">
      <w:r>
        <w:separator/>
      </w:r>
    </w:p>
  </w:footnote>
  <w:footnote w:type="continuationSeparator" w:id="0">
    <w:p w:rsidR="005226D4" w:rsidRDefault="005226D4" w:rsidP="007D7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D4" w:rsidRDefault="007D78D4" w:rsidP="00A67B2D">
    <w:pPr>
      <w:pStyle w:val="Header"/>
      <w:ind w:left="72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B2D" w:rsidRDefault="00A67B2D" w:rsidP="00A67B2D">
    <w:pPr>
      <w:pStyle w:val="Header"/>
      <w:jc w:val="right"/>
    </w:pPr>
    <w:r>
      <w:rPr>
        <w:noProof/>
      </w:rPr>
      <w:drawing>
        <wp:inline distT="0" distB="0" distL="0" distR="0" wp14:anchorId="4B84A9AA" wp14:editId="3B6DBF1E">
          <wp:extent cx="843280" cy="1117600"/>
          <wp:effectExtent l="0" t="0" r="0" b="6350"/>
          <wp:docPr id="7" name="Picture 7"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431FF"/>
    <w:multiLevelType w:val="hybridMultilevel"/>
    <w:tmpl w:val="E480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DB6506"/>
    <w:multiLevelType w:val="hybridMultilevel"/>
    <w:tmpl w:val="9B080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A3"/>
    <w:rsid w:val="000320B6"/>
    <w:rsid w:val="0006327E"/>
    <w:rsid w:val="000659DE"/>
    <w:rsid w:val="000B1F65"/>
    <w:rsid w:val="000B4310"/>
    <w:rsid w:val="000D014F"/>
    <w:rsid w:val="000E5C13"/>
    <w:rsid w:val="0012678C"/>
    <w:rsid w:val="00132704"/>
    <w:rsid w:val="00144EEB"/>
    <w:rsid w:val="00156F9B"/>
    <w:rsid w:val="001C7A74"/>
    <w:rsid w:val="001F217B"/>
    <w:rsid w:val="001F3EE2"/>
    <w:rsid w:val="00245B2D"/>
    <w:rsid w:val="002849A8"/>
    <w:rsid w:val="002A05A1"/>
    <w:rsid w:val="00305EB9"/>
    <w:rsid w:val="00320876"/>
    <w:rsid w:val="00361407"/>
    <w:rsid w:val="003632F1"/>
    <w:rsid w:val="003A1AD7"/>
    <w:rsid w:val="003E553B"/>
    <w:rsid w:val="004000D7"/>
    <w:rsid w:val="0042118B"/>
    <w:rsid w:val="00426020"/>
    <w:rsid w:val="00440EED"/>
    <w:rsid w:val="00467865"/>
    <w:rsid w:val="004D4AA3"/>
    <w:rsid w:val="004F23CA"/>
    <w:rsid w:val="00504E43"/>
    <w:rsid w:val="005226D4"/>
    <w:rsid w:val="005415C7"/>
    <w:rsid w:val="00541AE4"/>
    <w:rsid w:val="005647C2"/>
    <w:rsid w:val="00580709"/>
    <w:rsid w:val="005B122C"/>
    <w:rsid w:val="005B1957"/>
    <w:rsid w:val="005B64ED"/>
    <w:rsid w:val="005D6667"/>
    <w:rsid w:val="00621DB4"/>
    <w:rsid w:val="0066766A"/>
    <w:rsid w:val="00674DDA"/>
    <w:rsid w:val="00682918"/>
    <w:rsid w:val="006B5D5A"/>
    <w:rsid w:val="006B744F"/>
    <w:rsid w:val="006B74FE"/>
    <w:rsid w:val="006C4EF4"/>
    <w:rsid w:val="006C7881"/>
    <w:rsid w:val="006C7D09"/>
    <w:rsid w:val="006F4CAD"/>
    <w:rsid w:val="006F6DD7"/>
    <w:rsid w:val="006F7256"/>
    <w:rsid w:val="00712640"/>
    <w:rsid w:val="00724905"/>
    <w:rsid w:val="0074759D"/>
    <w:rsid w:val="00771A52"/>
    <w:rsid w:val="007908F4"/>
    <w:rsid w:val="007B25C2"/>
    <w:rsid w:val="007D56B8"/>
    <w:rsid w:val="007D78D4"/>
    <w:rsid w:val="007F2529"/>
    <w:rsid w:val="008844BE"/>
    <w:rsid w:val="008A1B3B"/>
    <w:rsid w:val="008A22C6"/>
    <w:rsid w:val="008A6D9D"/>
    <w:rsid w:val="008B34EB"/>
    <w:rsid w:val="009170B9"/>
    <w:rsid w:val="009F470C"/>
    <w:rsid w:val="009F54F5"/>
    <w:rsid w:val="00A46530"/>
    <w:rsid w:val="00A645DB"/>
    <w:rsid w:val="00A67B2D"/>
    <w:rsid w:val="00AE06C0"/>
    <w:rsid w:val="00AE2036"/>
    <w:rsid w:val="00B37E0F"/>
    <w:rsid w:val="00B60BA3"/>
    <w:rsid w:val="00B9666C"/>
    <w:rsid w:val="00BA1988"/>
    <w:rsid w:val="00C07F80"/>
    <w:rsid w:val="00CB0E18"/>
    <w:rsid w:val="00CD10E0"/>
    <w:rsid w:val="00D30617"/>
    <w:rsid w:val="00D950D8"/>
    <w:rsid w:val="00DB2357"/>
    <w:rsid w:val="00DC3B4C"/>
    <w:rsid w:val="00DE19F3"/>
    <w:rsid w:val="00E25D4C"/>
    <w:rsid w:val="00E75AD9"/>
    <w:rsid w:val="00E92CBA"/>
    <w:rsid w:val="00EF11E0"/>
    <w:rsid w:val="00F04C87"/>
    <w:rsid w:val="00F577C8"/>
    <w:rsid w:val="00F66321"/>
    <w:rsid w:val="00FD3A85"/>
    <w:rsid w:val="00FD5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905"/>
    <w:rPr>
      <w:rFonts w:ascii="Tahoma" w:hAnsi="Tahoma" w:cs="Tahoma"/>
      <w:sz w:val="16"/>
      <w:szCs w:val="16"/>
    </w:rPr>
  </w:style>
  <w:style w:type="character" w:customStyle="1" w:styleId="BalloonTextChar">
    <w:name w:val="Balloon Text Char"/>
    <w:basedOn w:val="DefaultParagraphFont"/>
    <w:link w:val="BalloonText"/>
    <w:uiPriority w:val="99"/>
    <w:semiHidden/>
    <w:rsid w:val="00724905"/>
    <w:rPr>
      <w:rFonts w:ascii="Tahoma" w:hAnsi="Tahoma" w:cs="Tahoma"/>
      <w:sz w:val="16"/>
      <w:szCs w:val="16"/>
    </w:rPr>
  </w:style>
  <w:style w:type="paragraph" w:styleId="ListParagraph">
    <w:name w:val="List Paragraph"/>
    <w:basedOn w:val="Normal"/>
    <w:uiPriority w:val="34"/>
    <w:qFormat/>
    <w:rsid w:val="00132704"/>
    <w:pPr>
      <w:ind w:left="720"/>
      <w:contextualSpacing/>
    </w:pPr>
  </w:style>
  <w:style w:type="character" w:styleId="Hyperlink">
    <w:name w:val="Hyperlink"/>
    <w:basedOn w:val="DefaultParagraphFont"/>
    <w:uiPriority w:val="99"/>
    <w:unhideWhenUsed/>
    <w:rsid w:val="00132704"/>
    <w:rPr>
      <w:color w:val="0000FF" w:themeColor="hyperlink"/>
      <w:u w:val="single"/>
    </w:rPr>
  </w:style>
  <w:style w:type="paragraph" w:styleId="Header">
    <w:name w:val="header"/>
    <w:basedOn w:val="Normal"/>
    <w:link w:val="HeaderChar"/>
    <w:uiPriority w:val="99"/>
    <w:unhideWhenUsed/>
    <w:rsid w:val="007D78D4"/>
    <w:pPr>
      <w:tabs>
        <w:tab w:val="center" w:pos="4513"/>
        <w:tab w:val="right" w:pos="9026"/>
      </w:tabs>
    </w:pPr>
  </w:style>
  <w:style w:type="character" w:customStyle="1" w:styleId="HeaderChar">
    <w:name w:val="Header Char"/>
    <w:basedOn w:val="DefaultParagraphFont"/>
    <w:link w:val="Header"/>
    <w:uiPriority w:val="99"/>
    <w:rsid w:val="007D78D4"/>
  </w:style>
  <w:style w:type="paragraph" w:styleId="Footer">
    <w:name w:val="footer"/>
    <w:basedOn w:val="Normal"/>
    <w:link w:val="FooterChar"/>
    <w:uiPriority w:val="99"/>
    <w:unhideWhenUsed/>
    <w:rsid w:val="007D78D4"/>
    <w:pPr>
      <w:tabs>
        <w:tab w:val="center" w:pos="4513"/>
        <w:tab w:val="right" w:pos="9026"/>
      </w:tabs>
    </w:pPr>
  </w:style>
  <w:style w:type="character" w:customStyle="1" w:styleId="FooterChar">
    <w:name w:val="Footer Char"/>
    <w:basedOn w:val="DefaultParagraphFont"/>
    <w:link w:val="Footer"/>
    <w:uiPriority w:val="99"/>
    <w:rsid w:val="007D78D4"/>
  </w:style>
  <w:style w:type="table" w:styleId="TableGrid">
    <w:name w:val="Table Grid"/>
    <w:basedOn w:val="TableNormal"/>
    <w:uiPriority w:val="59"/>
    <w:rsid w:val="00F6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0BA3"/>
    <w:rPr>
      <w:sz w:val="18"/>
      <w:szCs w:val="18"/>
    </w:rPr>
  </w:style>
  <w:style w:type="paragraph" w:styleId="CommentText">
    <w:name w:val="annotation text"/>
    <w:basedOn w:val="Normal"/>
    <w:link w:val="CommentTextChar"/>
    <w:uiPriority w:val="99"/>
    <w:semiHidden/>
    <w:unhideWhenUsed/>
    <w:rsid w:val="00B60BA3"/>
  </w:style>
  <w:style w:type="character" w:customStyle="1" w:styleId="CommentTextChar">
    <w:name w:val="Comment Text Char"/>
    <w:basedOn w:val="DefaultParagraphFont"/>
    <w:link w:val="CommentText"/>
    <w:uiPriority w:val="99"/>
    <w:semiHidden/>
    <w:rsid w:val="00B60BA3"/>
  </w:style>
  <w:style w:type="paragraph" w:styleId="CommentSubject">
    <w:name w:val="annotation subject"/>
    <w:basedOn w:val="CommentText"/>
    <w:next w:val="CommentText"/>
    <w:link w:val="CommentSubjectChar"/>
    <w:uiPriority w:val="99"/>
    <w:semiHidden/>
    <w:unhideWhenUsed/>
    <w:rsid w:val="00B60BA3"/>
    <w:rPr>
      <w:b/>
      <w:bCs/>
      <w:sz w:val="20"/>
      <w:szCs w:val="20"/>
    </w:rPr>
  </w:style>
  <w:style w:type="character" w:customStyle="1" w:styleId="CommentSubjectChar">
    <w:name w:val="Comment Subject Char"/>
    <w:basedOn w:val="CommentTextChar"/>
    <w:link w:val="CommentSubject"/>
    <w:uiPriority w:val="99"/>
    <w:semiHidden/>
    <w:rsid w:val="00B60B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905"/>
    <w:rPr>
      <w:rFonts w:ascii="Tahoma" w:hAnsi="Tahoma" w:cs="Tahoma"/>
      <w:sz w:val="16"/>
      <w:szCs w:val="16"/>
    </w:rPr>
  </w:style>
  <w:style w:type="character" w:customStyle="1" w:styleId="BalloonTextChar">
    <w:name w:val="Balloon Text Char"/>
    <w:basedOn w:val="DefaultParagraphFont"/>
    <w:link w:val="BalloonText"/>
    <w:uiPriority w:val="99"/>
    <w:semiHidden/>
    <w:rsid w:val="00724905"/>
    <w:rPr>
      <w:rFonts w:ascii="Tahoma" w:hAnsi="Tahoma" w:cs="Tahoma"/>
      <w:sz w:val="16"/>
      <w:szCs w:val="16"/>
    </w:rPr>
  </w:style>
  <w:style w:type="paragraph" w:styleId="ListParagraph">
    <w:name w:val="List Paragraph"/>
    <w:basedOn w:val="Normal"/>
    <w:uiPriority w:val="34"/>
    <w:qFormat/>
    <w:rsid w:val="00132704"/>
    <w:pPr>
      <w:ind w:left="720"/>
      <w:contextualSpacing/>
    </w:pPr>
  </w:style>
  <w:style w:type="character" w:styleId="Hyperlink">
    <w:name w:val="Hyperlink"/>
    <w:basedOn w:val="DefaultParagraphFont"/>
    <w:uiPriority w:val="99"/>
    <w:unhideWhenUsed/>
    <w:rsid w:val="00132704"/>
    <w:rPr>
      <w:color w:val="0000FF" w:themeColor="hyperlink"/>
      <w:u w:val="single"/>
    </w:rPr>
  </w:style>
  <w:style w:type="paragraph" w:styleId="Header">
    <w:name w:val="header"/>
    <w:basedOn w:val="Normal"/>
    <w:link w:val="HeaderChar"/>
    <w:uiPriority w:val="99"/>
    <w:unhideWhenUsed/>
    <w:rsid w:val="007D78D4"/>
    <w:pPr>
      <w:tabs>
        <w:tab w:val="center" w:pos="4513"/>
        <w:tab w:val="right" w:pos="9026"/>
      </w:tabs>
    </w:pPr>
  </w:style>
  <w:style w:type="character" w:customStyle="1" w:styleId="HeaderChar">
    <w:name w:val="Header Char"/>
    <w:basedOn w:val="DefaultParagraphFont"/>
    <w:link w:val="Header"/>
    <w:uiPriority w:val="99"/>
    <w:rsid w:val="007D78D4"/>
  </w:style>
  <w:style w:type="paragraph" w:styleId="Footer">
    <w:name w:val="footer"/>
    <w:basedOn w:val="Normal"/>
    <w:link w:val="FooterChar"/>
    <w:uiPriority w:val="99"/>
    <w:unhideWhenUsed/>
    <w:rsid w:val="007D78D4"/>
    <w:pPr>
      <w:tabs>
        <w:tab w:val="center" w:pos="4513"/>
        <w:tab w:val="right" w:pos="9026"/>
      </w:tabs>
    </w:pPr>
  </w:style>
  <w:style w:type="character" w:customStyle="1" w:styleId="FooterChar">
    <w:name w:val="Footer Char"/>
    <w:basedOn w:val="DefaultParagraphFont"/>
    <w:link w:val="Footer"/>
    <w:uiPriority w:val="99"/>
    <w:rsid w:val="007D78D4"/>
  </w:style>
  <w:style w:type="table" w:styleId="TableGrid">
    <w:name w:val="Table Grid"/>
    <w:basedOn w:val="TableNormal"/>
    <w:uiPriority w:val="59"/>
    <w:rsid w:val="00F6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0BA3"/>
    <w:rPr>
      <w:sz w:val="18"/>
      <w:szCs w:val="18"/>
    </w:rPr>
  </w:style>
  <w:style w:type="paragraph" w:styleId="CommentText">
    <w:name w:val="annotation text"/>
    <w:basedOn w:val="Normal"/>
    <w:link w:val="CommentTextChar"/>
    <w:uiPriority w:val="99"/>
    <w:semiHidden/>
    <w:unhideWhenUsed/>
    <w:rsid w:val="00B60BA3"/>
  </w:style>
  <w:style w:type="character" w:customStyle="1" w:styleId="CommentTextChar">
    <w:name w:val="Comment Text Char"/>
    <w:basedOn w:val="DefaultParagraphFont"/>
    <w:link w:val="CommentText"/>
    <w:uiPriority w:val="99"/>
    <w:semiHidden/>
    <w:rsid w:val="00B60BA3"/>
  </w:style>
  <w:style w:type="paragraph" w:styleId="CommentSubject">
    <w:name w:val="annotation subject"/>
    <w:basedOn w:val="CommentText"/>
    <w:next w:val="CommentText"/>
    <w:link w:val="CommentSubjectChar"/>
    <w:uiPriority w:val="99"/>
    <w:semiHidden/>
    <w:unhideWhenUsed/>
    <w:rsid w:val="00B60BA3"/>
    <w:rPr>
      <w:b/>
      <w:bCs/>
      <w:sz w:val="20"/>
      <w:szCs w:val="20"/>
    </w:rPr>
  </w:style>
  <w:style w:type="character" w:customStyle="1" w:styleId="CommentSubjectChar">
    <w:name w:val="Comment Subject Char"/>
    <w:basedOn w:val="CommentTextChar"/>
    <w:link w:val="CommentSubject"/>
    <w:uiPriority w:val="99"/>
    <w:semiHidden/>
    <w:rsid w:val="00B60B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1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mailto:iwright@oxford.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s16-v-fls-pl-89\Home_Folder_4\I-J\Ian.Wright\DATA\Restructure%235\Teams\BC\Cos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16-v-fls-pl-89\Home_Folder_4\I-J\Ian.Wright\DATA\Restructure%235\Teams\BC\Costs.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file:///\\s16-v-fls-pl-89\Home_Folder_4\I-J\Ian.Wright\DATA\Restructure%235\Teams\BC\Costs.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Approved Inspector</a:t>
            </a:r>
            <a:r>
              <a:rPr lang="en-GB" baseline="0"/>
              <a:t> Market Share</a:t>
            </a:r>
            <a:endParaRPr lang="en-GB"/>
          </a:p>
        </c:rich>
      </c:tx>
      <c:layout/>
      <c:overlay val="0"/>
    </c:title>
    <c:autoTitleDeleted val="0"/>
    <c:plotArea>
      <c:layout/>
      <c:lineChart>
        <c:grouping val="standard"/>
        <c:varyColors val="0"/>
        <c:ser>
          <c:idx val="0"/>
          <c:order val="0"/>
          <c:tx>
            <c:strRef>
              <c:f>Sheet5!$A$26</c:f>
              <c:strCache>
                <c:ptCount val="1"/>
                <c:pt idx="0">
                  <c:v>Percentage</c:v>
                </c:pt>
              </c:strCache>
            </c:strRef>
          </c:tx>
          <c:cat>
            <c:strRef>
              <c:f>Sheet5!$B$25:$G$25</c:f>
              <c:strCache>
                <c:ptCount val="6"/>
                <c:pt idx="0">
                  <c:v>2011-12</c:v>
                </c:pt>
                <c:pt idx="1">
                  <c:v>2012-13</c:v>
                </c:pt>
                <c:pt idx="2">
                  <c:v>2013-14</c:v>
                </c:pt>
                <c:pt idx="3">
                  <c:v>2014-15</c:v>
                </c:pt>
                <c:pt idx="4">
                  <c:v>2015-16</c:v>
                </c:pt>
                <c:pt idx="5">
                  <c:v>2016-17 </c:v>
                </c:pt>
              </c:strCache>
            </c:strRef>
          </c:cat>
          <c:val>
            <c:numRef>
              <c:f>Sheet5!$B$26:$G$26</c:f>
              <c:numCache>
                <c:formatCode>General</c:formatCode>
                <c:ptCount val="6"/>
                <c:pt idx="0">
                  <c:v>16</c:v>
                </c:pt>
                <c:pt idx="1">
                  <c:v>17</c:v>
                </c:pt>
                <c:pt idx="2">
                  <c:v>26</c:v>
                </c:pt>
                <c:pt idx="3">
                  <c:v>40</c:v>
                </c:pt>
                <c:pt idx="4">
                  <c:v>35</c:v>
                </c:pt>
                <c:pt idx="5">
                  <c:v>40</c:v>
                </c:pt>
              </c:numCache>
            </c:numRef>
          </c:val>
          <c:smooth val="0"/>
        </c:ser>
        <c:dLbls>
          <c:showLegendKey val="0"/>
          <c:showVal val="0"/>
          <c:showCatName val="0"/>
          <c:showSerName val="0"/>
          <c:showPercent val="0"/>
          <c:showBubbleSize val="0"/>
        </c:dLbls>
        <c:marker val="1"/>
        <c:smooth val="0"/>
        <c:axId val="107238144"/>
        <c:axId val="107311104"/>
      </c:lineChart>
      <c:catAx>
        <c:axId val="107238144"/>
        <c:scaling>
          <c:orientation val="minMax"/>
        </c:scaling>
        <c:delete val="0"/>
        <c:axPos val="b"/>
        <c:numFmt formatCode="General" sourceLinked="0"/>
        <c:majorTickMark val="out"/>
        <c:minorTickMark val="none"/>
        <c:tickLblPos val="nextTo"/>
        <c:crossAx val="107311104"/>
        <c:crosses val="autoZero"/>
        <c:auto val="1"/>
        <c:lblAlgn val="ctr"/>
        <c:lblOffset val="100"/>
        <c:noMultiLvlLbl val="0"/>
      </c:catAx>
      <c:valAx>
        <c:axId val="107311104"/>
        <c:scaling>
          <c:orientation val="minMax"/>
        </c:scaling>
        <c:delete val="0"/>
        <c:axPos val="l"/>
        <c:majorGridlines/>
        <c:numFmt formatCode="General" sourceLinked="1"/>
        <c:majorTickMark val="out"/>
        <c:minorTickMark val="none"/>
        <c:tickLblPos val="nextTo"/>
        <c:crossAx val="1072381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manualLayout>
          <c:layoutTarget val="inner"/>
          <c:xMode val="edge"/>
          <c:yMode val="edge"/>
          <c:x val="9.5360710119568398E-2"/>
          <c:y val="5.6649145769707497E-2"/>
          <c:w val="0.69202409594633996"/>
          <c:h val="0.872808537455246"/>
        </c:manualLayout>
      </c:layout>
      <c:barChart>
        <c:barDir val="col"/>
        <c:grouping val="clustered"/>
        <c:varyColors val="0"/>
        <c:ser>
          <c:idx val="4"/>
          <c:order val="0"/>
          <c:tx>
            <c:strRef>
              <c:f>Sheet4!$F$1</c:f>
              <c:strCache>
                <c:ptCount val="1"/>
                <c:pt idx="0">
                  <c:v>Total income</c:v>
                </c:pt>
              </c:strCache>
            </c:strRef>
          </c:tx>
          <c:invertIfNegative val="0"/>
          <c:cat>
            <c:strRef>
              <c:f>Sheet4!$A$2:$A$7</c:f>
              <c:strCache>
                <c:ptCount val="6"/>
                <c:pt idx="0">
                  <c:v>2011/12</c:v>
                </c:pt>
                <c:pt idx="1">
                  <c:v>2012/13</c:v>
                </c:pt>
                <c:pt idx="2">
                  <c:v>2013/14</c:v>
                </c:pt>
                <c:pt idx="3">
                  <c:v>2014/15</c:v>
                </c:pt>
                <c:pt idx="4">
                  <c:v>2015/16</c:v>
                </c:pt>
                <c:pt idx="5">
                  <c:v>2016/17</c:v>
                </c:pt>
              </c:strCache>
            </c:strRef>
          </c:cat>
          <c:val>
            <c:numRef>
              <c:f>Sheet4!$F$2:$F$7</c:f>
              <c:numCache>
                <c:formatCode>General</c:formatCode>
                <c:ptCount val="6"/>
                <c:pt idx="0">
                  <c:v>550856</c:v>
                </c:pt>
                <c:pt idx="1">
                  <c:v>418188</c:v>
                </c:pt>
                <c:pt idx="2">
                  <c:v>452593</c:v>
                </c:pt>
                <c:pt idx="3">
                  <c:v>450446</c:v>
                </c:pt>
                <c:pt idx="4">
                  <c:v>448931</c:v>
                </c:pt>
                <c:pt idx="5">
                  <c:v>424115</c:v>
                </c:pt>
              </c:numCache>
            </c:numRef>
          </c:val>
        </c:ser>
        <c:dLbls>
          <c:showLegendKey val="0"/>
          <c:showVal val="0"/>
          <c:showCatName val="0"/>
          <c:showSerName val="0"/>
          <c:showPercent val="0"/>
          <c:showBubbleSize val="0"/>
        </c:dLbls>
        <c:gapWidth val="150"/>
        <c:axId val="107709952"/>
        <c:axId val="109250048"/>
      </c:barChart>
      <c:catAx>
        <c:axId val="107709952"/>
        <c:scaling>
          <c:orientation val="minMax"/>
        </c:scaling>
        <c:delete val="0"/>
        <c:axPos val="b"/>
        <c:numFmt formatCode="General" sourceLinked="0"/>
        <c:majorTickMark val="out"/>
        <c:minorTickMark val="none"/>
        <c:tickLblPos val="nextTo"/>
        <c:crossAx val="109250048"/>
        <c:crosses val="autoZero"/>
        <c:auto val="1"/>
        <c:lblAlgn val="ctr"/>
        <c:lblOffset val="100"/>
        <c:noMultiLvlLbl val="0"/>
      </c:catAx>
      <c:valAx>
        <c:axId val="109250048"/>
        <c:scaling>
          <c:orientation val="minMax"/>
        </c:scaling>
        <c:delete val="0"/>
        <c:axPos val="l"/>
        <c:majorGridlines/>
        <c:numFmt formatCode="General" sourceLinked="1"/>
        <c:majorTickMark val="out"/>
        <c:minorTickMark val="none"/>
        <c:tickLblPos val="nextTo"/>
        <c:crossAx val="1077099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Sheet4!$G$2</c:f>
              <c:strCache>
                <c:ptCount val="1"/>
                <c:pt idx="0">
                  <c:v>2011/12</c:v>
                </c:pt>
              </c:strCache>
            </c:strRef>
          </c:tx>
          <c:invertIfNegative val="0"/>
          <c:cat>
            <c:strRef>
              <c:f>Sheet4!$H$1:$N$1</c:f>
              <c:strCache>
                <c:ptCount val="7"/>
                <c:pt idx="0">
                  <c:v>Salaries</c:v>
                </c:pt>
                <c:pt idx="1">
                  <c:v>Transport</c:v>
                </c:pt>
                <c:pt idx="2">
                  <c:v>S&amp;S</c:v>
                </c:pt>
                <c:pt idx="3">
                  <c:v>Support </c:v>
                </c:pt>
                <c:pt idx="4">
                  <c:v>Total Expenditure</c:v>
                </c:pt>
                <c:pt idx="5">
                  <c:v>Income</c:v>
                </c:pt>
                <c:pt idx="6">
                  <c:v>Cost </c:v>
                </c:pt>
              </c:strCache>
            </c:strRef>
          </c:cat>
          <c:val>
            <c:numRef>
              <c:f>Sheet4!$H$2:$N$2</c:f>
              <c:numCache>
                <c:formatCode>General</c:formatCode>
                <c:ptCount val="7"/>
                <c:pt idx="0">
                  <c:v>368363</c:v>
                </c:pt>
                <c:pt idx="1">
                  <c:v>14559</c:v>
                </c:pt>
                <c:pt idx="2">
                  <c:v>32548</c:v>
                </c:pt>
                <c:pt idx="3">
                  <c:v>76331</c:v>
                </c:pt>
                <c:pt idx="4">
                  <c:v>491801</c:v>
                </c:pt>
                <c:pt idx="5">
                  <c:v>550856</c:v>
                </c:pt>
                <c:pt idx="6">
                  <c:v>-59055</c:v>
                </c:pt>
              </c:numCache>
            </c:numRef>
          </c:val>
        </c:ser>
        <c:ser>
          <c:idx val="1"/>
          <c:order val="1"/>
          <c:tx>
            <c:strRef>
              <c:f>Sheet4!$G$3</c:f>
              <c:strCache>
                <c:ptCount val="1"/>
                <c:pt idx="0">
                  <c:v>2012/13</c:v>
                </c:pt>
              </c:strCache>
            </c:strRef>
          </c:tx>
          <c:invertIfNegative val="0"/>
          <c:cat>
            <c:strRef>
              <c:f>Sheet4!$H$1:$N$1</c:f>
              <c:strCache>
                <c:ptCount val="7"/>
                <c:pt idx="0">
                  <c:v>Salaries</c:v>
                </c:pt>
                <c:pt idx="1">
                  <c:v>Transport</c:v>
                </c:pt>
                <c:pt idx="2">
                  <c:v>S&amp;S</c:v>
                </c:pt>
                <c:pt idx="3">
                  <c:v>Support </c:v>
                </c:pt>
                <c:pt idx="4">
                  <c:v>Total Expenditure</c:v>
                </c:pt>
                <c:pt idx="5">
                  <c:v>Income</c:v>
                </c:pt>
                <c:pt idx="6">
                  <c:v>Cost </c:v>
                </c:pt>
              </c:strCache>
            </c:strRef>
          </c:cat>
          <c:val>
            <c:numRef>
              <c:f>Sheet4!$H$3:$N$3</c:f>
              <c:numCache>
                <c:formatCode>General</c:formatCode>
                <c:ptCount val="7"/>
                <c:pt idx="0">
                  <c:v>369771</c:v>
                </c:pt>
                <c:pt idx="1">
                  <c:v>7489</c:v>
                </c:pt>
                <c:pt idx="2">
                  <c:v>23272</c:v>
                </c:pt>
                <c:pt idx="3">
                  <c:v>88677</c:v>
                </c:pt>
                <c:pt idx="4">
                  <c:v>489209</c:v>
                </c:pt>
                <c:pt idx="5">
                  <c:v>418188</c:v>
                </c:pt>
                <c:pt idx="6">
                  <c:v>71021</c:v>
                </c:pt>
              </c:numCache>
            </c:numRef>
          </c:val>
        </c:ser>
        <c:ser>
          <c:idx val="2"/>
          <c:order val="2"/>
          <c:tx>
            <c:strRef>
              <c:f>Sheet4!$G$4</c:f>
              <c:strCache>
                <c:ptCount val="1"/>
                <c:pt idx="0">
                  <c:v>2013/14</c:v>
                </c:pt>
              </c:strCache>
            </c:strRef>
          </c:tx>
          <c:invertIfNegative val="0"/>
          <c:cat>
            <c:strRef>
              <c:f>Sheet4!$H$1:$N$1</c:f>
              <c:strCache>
                <c:ptCount val="7"/>
                <c:pt idx="0">
                  <c:v>Salaries</c:v>
                </c:pt>
                <c:pt idx="1">
                  <c:v>Transport</c:v>
                </c:pt>
                <c:pt idx="2">
                  <c:v>S&amp;S</c:v>
                </c:pt>
                <c:pt idx="3">
                  <c:v>Support </c:v>
                </c:pt>
                <c:pt idx="4">
                  <c:v>Total Expenditure</c:v>
                </c:pt>
                <c:pt idx="5">
                  <c:v>Income</c:v>
                </c:pt>
                <c:pt idx="6">
                  <c:v>Cost </c:v>
                </c:pt>
              </c:strCache>
            </c:strRef>
          </c:cat>
          <c:val>
            <c:numRef>
              <c:f>Sheet4!$H$4:$N$4</c:f>
              <c:numCache>
                <c:formatCode>General</c:formatCode>
                <c:ptCount val="7"/>
                <c:pt idx="0">
                  <c:v>393563</c:v>
                </c:pt>
                <c:pt idx="1">
                  <c:v>4885</c:v>
                </c:pt>
                <c:pt idx="2">
                  <c:v>20846</c:v>
                </c:pt>
                <c:pt idx="3">
                  <c:v>115004</c:v>
                </c:pt>
                <c:pt idx="4">
                  <c:v>534298</c:v>
                </c:pt>
                <c:pt idx="5">
                  <c:v>452593</c:v>
                </c:pt>
                <c:pt idx="6">
                  <c:v>81705</c:v>
                </c:pt>
              </c:numCache>
            </c:numRef>
          </c:val>
        </c:ser>
        <c:ser>
          <c:idx val="3"/>
          <c:order val="3"/>
          <c:tx>
            <c:strRef>
              <c:f>Sheet4!$G$5</c:f>
              <c:strCache>
                <c:ptCount val="1"/>
                <c:pt idx="0">
                  <c:v>2014/15</c:v>
                </c:pt>
              </c:strCache>
            </c:strRef>
          </c:tx>
          <c:invertIfNegative val="0"/>
          <c:cat>
            <c:strRef>
              <c:f>Sheet4!$H$1:$N$1</c:f>
              <c:strCache>
                <c:ptCount val="7"/>
                <c:pt idx="0">
                  <c:v>Salaries</c:v>
                </c:pt>
                <c:pt idx="1">
                  <c:v>Transport</c:v>
                </c:pt>
                <c:pt idx="2">
                  <c:v>S&amp;S</c:v>
                </c:pt>
                <c:pt idx="3">
                  <c:v>Support </c:v>
                </c:pt>
                <c:pt idx="4">
                  <c:v>Total Expenditure</c:v>
                </c:pt>
                <c:pt idx="5">
                  <c:v>Income</c:v>
                </c:pt>
                <c:pt idx="6">
                  <c:v>Cost </c:v>
                </c:pt>
              </c:strCache>
            </c:strRef>
          </c:cat>
          <c:val>
            <c:numRef>
              <c:f>Sheet4!$H$5:$N$5</c:f>
              <c:numCache>
                <c:formatCode>General</c:formatCode>
                <c:ptCount val="7"/>
                <c:pt idx="0">
                  <c:v>369386</c:v>
                </c:pt>
                <c:pt idx="1">
                  <c:v>4148</c:v>
                </c:pt>
                <c:pt idx="2">
                  <c:v>12117</c:v>
                </c:pt>
                <c:pt idx="3">
                  <c:v>97422</c:v>
                </c:pt>
                <c:pt idx="4">
                  <c:v>483073</c:v>
                </c:pt>
                <c:pt idx="5">
                  <c:v>450446</c:v>
                </c:pt>
                <c:pt idx="6">
                  <c:v>32627</c:v>
                </c:pt>
              </c:numCache>
            </c:numRef>
          </c:val>
        </c:ser>
        <c:ser>
          <c:idx val="4"/>
          <c:order val="4"/>
          <c:tx>
            <c:strRef>
              <c:f>Sheet4!$G$6</c:f>
              <c:strCache>
                <c:ptCount val="1"/>
                <c:pt idx="0">
                  <c:v>2015/16</c:v>
                </c:pt>
              </c:strCache>
            </c:strRef>
          </c:tx>
          <c:invertIfNegative val="0"/>
          <c:cat>
            <c:strRef>
              <c:f>Sheet4!$H$1:$N$1</c:f>
              <c:strCache>
                <c:ptCount val="7"/>
                <c:pt idx="0">
                  <c:v>Salaries</c:v>
                </c:pt>
                <c:pt idx="1">
                  <c:v>Transport</c:v>
                </c:pt>
                <c:pt idx="2">
                  <c:v>S&amp;S</c:v>
                </c:pt>
                <c:pt idx="3">
                  <c:v>Support </c:v>
                </c:pt>
                <c:pt idx="4">
                  <c:v>Total Expenditure</c:v>
                </c:pt>
                <c:pt idx="5">
                  <c:v>Income</c:v>
                </c:pt>
                <c:pt idx="6">
                  <c:v>Cost </c:v>
                </c:pt>
              </c:strCache>
            </c:strRef>
          </c:cat>
          <c:val>
            <c:numRef>
              <c:f>Sheet4!$H$6:$N$6</c:f>
              <c:numCache>
                <c:formatCode>General</c:formatCode>
                <c:ptCount val="7"/>
                <c:pt idx="0">
                  <c:v>396986</c:v>
                </c:pt>
                <c:pt idx="1">
                  <c:v>4832</c:v>
                </c:pt>
                <c:pt idx="2">
                  <c:v>18669</c:v>
                </c:pt>
                <c:pt idx="3">
                  <c:v>67192</c:v>
                </c:pt>
                <c:pt idx="4">
                  <c:v>487679</c:v>
                </c:pt>
                <c:pt idx="5">
                  <c:v>448931</c:v>
                </c:pt>
                <c:pt idx="6">
                  <c:v>38748</c:v>
                </c:pt>
              </c:numCache>
            </c:numRef>
          </c:val>
        </c:ser>
        <c:ser>
          <c:idx val="5"/>
          <c:order val="5"/>
          <c:tx>
            <c:strRef>
              <c:f>Sheet4!$G$7</c:f>
              <c:strCache>
                <c:ptCount val="1"/>
                <c:pt idx="0">
                  <c:v>2016/17</c:v>
                </c:pt>
              </c:strCache>
            </c:strRef>
          </c:tx>
          <c:invertIfNegative val="0"/>
          <c:cat>
            <c:strRef>
              <c:f>Sheet4!$H$1:$N$1</c:f>
              <c:strCache>
                <c:ptCount val="7"/>
                <c:pt idx="0">
                  <c:v>Salaries</c:v>
                </c:pt>
                <c:pt idx="1">
                  <c:v>Transport</c:v>
                </c:pt>
                <c:pt idx="2">
                  <c:v>S&amp;S</c:v>
                </c:pt>
                <c:pt idx="3">
                  <c:v>Support </c:v>
                </c:pt>
                <c:pt idx="4">
                  <c:v>Total Expenditure</c:v>
                </c:pt>
                <c:pt idx="5">
                  <c:v>Income</c:v>
                </c:pt>
                <c:pt idx="6">
                  <c:v>Cost </c:v>
                </c:pt>
              </c:strCache>
            </c:strRef>
          </c:cat>
          <c:val>
            <c:numRef>
              <c:f>Sheet4!$H$7:$N$7</c:f>
              <c:numCache>
                <c:formatCode>General</c:formatCode>
                <c:ptCount val="7"/>
                <c:pt idx="0">
                  <c:v>369701</c:v>
                </c:pt>
                <c:pt idx="1">
                  <c:v>1845</c:v>
                </c:pt>
                <c:pt idx="2">
                  <c:v>11886</c:v>
                </c:pt>
                <c:pt idx="3">
                  <c:v>158647</c:v>
                </c:pt>
                <c:pt idx="4">
                  <c:v>542079</c:v>
                </c:pt>
                <c:pt idx="5">
                  <c:v>424115</c:v>
                </c:pt>
                <c:pt idx="6">
                  <c:v>117964</c:v>
                </c:pt>
              </c:numCache>
            </c:numRef>
          </c:val>
        </c:ser>
        <c:dLbls>
          <c:showLegendKey val="0"/>
          <c:showVal val="0"/>
          <c:showCatName val="0"/>
          <c:showSerName val="0"/>
          <c:showPercent val="0"/>
          <c:showBubbleSize val="0"/>
        </c:dLbls>
        <c:gapWidth val="150"/>
        <c:axId val="53491200"/>
        <c:axId val="53492736"/>
      </c:barChart>
      <c:catAx>
        <c:axId val="53491200"/>
        <c:scaling>
          <c:orientation val="minMax"/>
        </c:scaling>
        <c:delete val="0"/>
        <c:axPos val="b"/>
        <c:numFmt formatCode="General" sourceLinked="0"/>
        <c:majorTickMark val="out"/>
        <c:minorTickMark val="none"/>
        <c:tickLblPos val="nextTo"/>
        <c:crossAx val="53492736"/>
        <c:crosses val="autoZero"/>
        <c:auto val="1"/>
        <c:lblAlgn val="ctr"/>
        <c:lblOffset val="100"/>
        <c:noMultiLvlLbl val="0"/>
      </c:catAx>
      <c:valAx>
        <c:axId val="53492736"/>
        <c:scaling>
          <c:orientation val="minMax"/>
        </c:scaling>
        <c:delete val="0"/>
        <c:axPos val="l"/>
        <c:majorGridlines/>
        <c:numFmt formatCode="General" sourceLinked="1"/>
        <c:majorTickMark val="out"/>
        <c:minorTickMark val="none"/>
        <c:tickLblPos val="nextTo"/>
        <c:crossAx val="534912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Sheet6!$G$3</c:f>
              <c:strCache>
                <c:ptCount val="1"/>
                <c:pt idx="0">
                  <c:v>Total Service cost</c:v>
                </c:pt>
              </c:strCache>
            </c:strRef>
          </c:tx>
          <c:invertIfNegative val="0"/>
          <c:cat>
            <c:strRef>
              <c:f>Sheet6!$F$4:$F$9</c:f>
              <c:strCache>
                <c:ptCount val="6"/>
                <c:pt idx="0">
                  <c:v>2011/12</c:v>
                </c:pt>
                <c:pt idx="1">
                  <c:v>2012/13</c:v>
                </c:pt>
                <c:pt idx="2">
                  <c:v>2013/14</c:v>
                </c:pt>
                <c:pt idx="3">
                  <c:v>2014/15</c:v>
                </c:pt>
                <c:pt idx="4">
                  <c:v>2015/16</c:v>
                </c:pt>
                <c:pt idx="5">
                  <c:v>2016/17</c:v>
                </c:pt>
              </c:strCache>
            </c:strRef>
          </c:cat>
          <c:val>
            <c:numRef>
              <c:f>Sheet6!$G$4:$G$9</c:f>
              <c:numCache>
                <c:formatCode>General</c:formatCode>
                <c:ptCount val="6"/>
                <c:pt idx="0">
                  <c:v>491801</c:v>
                </c:pt>
                <c:pt idx="1">
                  <c:v>489209</c:v>
                </c:pt>
                <c:pt idx="2">
                  <c:v>534298</c:v>
                </c:pt>
                <c:pt idx="3">
                  <c:v>483073</c:v>
                </c:pt>
                <c:pt idx="4">
                  <c:v>487679</c:v>
                </c:pt>
                <c:pt idx="5">
                  <c:v>542079</c:v>
                </c:pt>
              </c:numCache>
            </c:numRef>
          </c:val>
        </c:ser>
        <c:ser>
          <c:idx val="1"/>
          <c:order val="1"/>
          <c:tx>
            <c:strRef>
              <c:f>Sheet6!$H$3</c:f>
              <c:strCache>
                <c:ptCount val="1"/>
                <c:pt idx="0">
                  <c:v>Fee earning cost (75%)</c:v>
                </c:pt>
              </c:strCache>
            </c:strRef>
          </c:tx>
          <c:invertIfNegative val="0"/>
          <c:cat>
            <c:strRef>
              <c:f>Sheet6!$F$4:$F$9</c:f>
              <c:strCache>
                <c:ptCount val="6"/>
                <c:pt idx="0">
                  <c:v>2011/12</c:v>
                </c:pt>
                <c:pt idx="1">
                  <c:v>2012/13</c:v>
                </c:pt>
                <c:pt idx="2">
                  <c:v>2013/14</c:v>
                </c:pt>
                <c:pt idx="3">
                  <c:v>2014/15</c:v>
                </c:pt>
                <c:pt idx="4">
                  <c:v>2015/16</c:v>
                </c:pt>
                <c:pt idx="5">
                  <c:v>2016/17</c:v>
                </c:pt>
              </c:strCache>
            </c:strRef>
          </c:cat>
          <c:val>
            <c:numRef>
              <c:f>Sheet6!$H$4:$H$9</c:f>
              <c:numCache>
                <c:formatCode>0</c:formatCode>
                <c:ptCount val="6"/>
                <c:pt idx="0">
                  <c:v>368850.75</c:v>
                </c:pt>
                <c:pt idx="1">
                  <c:v>366906.75</c:v>
                </c:pt>
                <c:pt idx="2">
                  <c:v>400723.5</c:v>
                </c:pt>
                <c:pt idx="3">
                  <c:v>362304.75</c:v>
                </c:pt>
                <c:pt idx="4">
                  <c:v>365759.25</c:v>
                </c:pt>
                <c:pt idx="5">
                  <c:v>406559.25</c:v>
                </c:pt>
              </c:numCache>
            </c:numRef>
          </c:val>
        </c:ser>
        <c:ser>
          <c:idx val="2"/>
          <c:order val="2"/>
          <c:tx>
            <c:strRef>
              <c:f>Sheet6!$J$3</c:f>
              <c:strCache>
                <c:ptCount val="1"/>
                <c:pt idx="0">
                  <c:v>Income</c:v>
                </c:pt>
              </c:strCache>
            </c:strRef>
          </c:tx>
          <c:invertIfNegative val="0"/>
          <c:cat>
            <c:strRef>
              <c:f>Sheet6!$F$4:$F$9</c:f>
              <c:strCache>
                <c:ptCount val="6"/>
                <c:pt idx="0">
                  <c:v>2011/12</c:v>
                </c:pt>
                <c:pt idx="1">
                  <c:v>2012/13</c:v>
                </c:pt>
                <c:pt idx="2">
                  <c:v>2013/14</c:v>
                </c:pt>
                <c:pt idx="3">
                  <c:v>2014/15</c:v>
                </c:pt>
                <c:pt idx="4">
                  <c:v>2015/16</c:v>
                </c:pt>
                <c:pt idx="5">
                  <c:v>2016/17</c:v>
                </c:pt>
              </c:strCache>
            </c:strRef>
          </c:cat>
          <c:val>
            <c:numRef>
              <c:f>Sheet6!$J$4:$J$9</c:f>
              <c:numCache>
                <c:formatCode>General</c:formatCode>
                <c:ptCount val="6"/>
                <c:pt idx="0">
                  <c:v>550856</c:v>
                </c:pt>
                <c:pt idx="1">
                  <c:v>418188</c:v>
                </c:pt>
                <c:pt idx="2">
                  <c:v>452593</c:v>
                </c:pt>
                <c:pt idx="3">
                  <c:v>450446</c:v>
                </c:pt>
                <c:pt idx="4">
                  <c:v>448931</c:v>
                </c:pt>
                <c:pt idx="5">
                  <c:v>424115</c:v>
                </c:pt>
              </c:numCache>
            </c:numRef>
          </c:val>
        </c:ser>
        <c:ser>
          <c:idx val="3"/>
          <c:order val="3"/>
          <c:tx>
            <c:strRef>
              <c:f>Sheet6!$K$3</c:f>
              <c:strCache>
                <c:ptCount val="1"/>
                <c:pt idx="0">
                  <c:v>Surplus</c:v>
                </c:pt>
              </c:strCache>
            </c:strRef>
          </c:tx>
          <c:invertIfNegative val="0"/>
          <c:cat>
            <c:strRef>
              <c:f>Sheet6!$F$4:$F$9</c:f>
              <c:strCache>
                <c:ptCount val="6"/>
                <c:pt idx="0">
                  <c:v>2011/12</c:v>
                </c:pt>
                <c:pt idx="1">
                  <c:v>2012/13</c:v>
                </c:pt>
                <c:pt idx="2">
                  <c:v>2013/14</c:v>
                </c:pt>
                <c:pt idx="3">
                  <c:v>2014/15</c:v>
                </c:pt>
                <c:pt idx="4">
                  <c:v>2015/16</c:v>
                </c:pt>
                <c:pt idx="5">
                  <c:v>2016/17</c:v>
                </c:pt>
              </c:strCache>
            </c:strRef>
          </c:cat>
          <c:val>
            <c:numRef>
              <c:f>Sheet6!$K$4:$K$9</c:f>
              <c:numCache>
                <c:formatCode>0</c:formatCode>
                <c:ptCount val="6"/>
                <c:pt idx="0">
                  <c:v>-182005.25</c:v>
                </c:pt>
                <c:pt idx="1">
                  <c:v>-51281.25</c:v>
                </c:pt>
                <c:pt idx="2">
                  <c:v>-51869.5</c:v>
                </c:pt>
                <c:pt idx="3">
                  <c:v>-88141.25</c:v>
                </c:pt>
                <c:pt idx="4">
                  <c:v>-83171.75</c:v>
                </c:pt>
                <c:pt idx="5">
                  <c:v>-17555.75</c:v>
                </c:pt>
              </c:numCache>
            </c:numRef>
          </c:val>
        </c:ser>
        <c:dLbls>
          <c:showLegendKey val="0"/>
          <c:showVal val="0"/>
          <c:showCatName val="0"/>
          <c:showSerName val="0"/>
          <c:showPercent val="0"/>
          <c:showBubbleSize val="0"/>
        </c:dLbls>
        <c:gapWidth val="150"/>
        <c:axId val="85795968"/>
        <c:axId val="85797504"/>
      </c:barChart>
      <c:catAx>
        <c:axId val="85795968"/>
        <c:scaling>
          <c:orientation val="minMax"/>
        </c:scaling>
        <c:delete val="0"/>
        <c:axPos val="b"/>
        <c:majorTickMark val="out"/>
        <c:minorTickMark val="none"/>
        <c:tickLblPos val="nextTo"/>
        <c:crossAx val="85797504"/>
        <c:crosses val="autoZero"/>
        <c:auto val="1"/>
        <c:lblAlgn val="ctr"/>
        <c:lblOffset val="100"/>
        <c:noMultiLvlLbl val="0"/>
      </c:catAx>
      <c:valAx>
        <c:axId val="85797504"/>
        <c:scaling>
          <c:orientation val="minMax"/>
        </c:scaling>
        <c:delete val="0"/>
        <c:axPos val="l"/>
        <c:majorGridlines/>
        <c:numFmt formatCode="General" sourceLinked="1"/>
        <c:majorTickMark val="out"/>
        <c:minorTickMark val="none"/>
        <c:tickLblPos val="nextTo"/>
        <c:crossAx val="857959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Sheet6!$M$3</c:f>
              <c:strCache>
                <c:ptCount val="1"/>
                <c:pt idx="0">
                  <c:v>Non fee earning cost</c:v>
                </c:pt>
              </c:strCache>
            </c:strRef>
          </c:tx>
          <c:invertIfNegative val="0"/>
          <c:cat>
            <c:strRef>
              <c:f>Sheet6!$L$4:$L$9</c:f>
              <c:strCache>
                <c:ptCount val="6"/>
                <c:pt idx="0">
                  <c:v>2011/12</c:v>
                </c:pt>
                <c:pt idx="1">
                  <c:v>2012/13</c:v>
                </c:pt>
                <c:pt idx="2">
                  <c:v>2013/14</c:v>
                </c:pt>
                <c:pt idx="3">
                  <c:v>2014/15</c:v>
                </c:pt>
                <c:pt idx="4">
                  <c:v>2015/16</c:v>
                </c:pt>
                <c:pt idx="5">
                  <c:v>2016/17</c:v>
                </c:pt>
              </c:strCache>
            </c:strRef>
          </c:cat>
          <c:val>
            <c:numRef>
              <c:f>Sheet6!$M$4:$M$9</c:f>
              <c:numCache>
                <c:formatCode>0</c:formatCode>
                <c:ptCount val="6"/>
                <c:pt idx="0">
                  <c:v>122950.25</c:v>
                </c:pt>
                <c:pt idx="1">
                  <c:v>122302.25</c:v>
                </c:pt>
                <c:pt idx="2">
                  <c:v>133574.5</c:v>
                </c:pt>
                <c:pt idx="3">
                  <c:v>120768.25</c:v>
                </c:pt>
                <c:pt idx="4">
                  <c:v>121919.75</c:v>
                </c:pt>
                <c:pt idx="5">
                  <c:v>135519.75</c:v>
                </c:pt>
              </c:numCache>
            </c:numRef>
          </c:val>
        </c:ser>
        <c:dLbls>
          <c:showLegendKey val="0"/>
          <c:showVal val="0"/>
          <c:showCatName val="0"/>
          <c:showSerName val="0"/>
          <c:showPercent val="0"/>
          <c:showBubbleSize val="0"/>
        </c:dLbls>
        <c:gapWidth val="150"/>
        <c:axId val="85826176"/>
        <c:axId val="85840256"/>
      </c:barChart>
      <c:catAx>
        <c:axId val="85826176"/>
        <c:scaling>
          <c:orientation val="minMax"/>
        </c:scaling>
        <c:delete val="0"/>
        <c:axPos val="b"/>
        <c:majorTickMark val="out"/>
        <c:minorTickMark val="none"/>
        <c:tickLblPos val="nextTo"/>
        <c:crossAx val="85840256"/>
        <c:crosses val="autoZero"/>
        <c:auto val="1"/>
        <c:lblAlgn val="ctr"/>
        <c:lblOffset val="100"/>
        <c:noMultiLvlLbl val="0"/>
      </c:catAx>
      <c:valAx>
        <c:axId val="85840256"/>
        <c:scaling>
          <c:orientation val="minMax"/>
        </c:scaling>
        <c:delete val="0"/>
        <c:axPos val="l"/>
        <c:majorGridlines/>
        <c:numFmt formatCode="0" sourceLinked="1"/>
        <c:majorTickMark val="out"/>
        <c:minorTickMark val="none"/>
        <c:tickLblPos val="nextTo"/>
        <c:crossAx val="8582617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66D99-E13F-40FB-84F4-07489A9E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B673AC06</Template>
  <TotalTime>26</TotalTime>
  <Pages>8</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iwright</dc:creator>
  <cp:lastModifiedBy>jthompson</cp:lastModifiedBy>
  <cp:revision>6</cp:revision>
  <dcterms:created xsi:type="dcterms:W3CDTF">2017-06-15T17:37:00Z</dcterms:created>
  <dcterms:modified xsi:type="dcterms:W3CDTF">2017-06-19T17:20:00Z</dcterms:modified>
</cp:coreProperties>
</file>